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A31C56" w14:textId="466CD40B" w:rsidR="00820A0C" w:rsidRPr="00FD7E7D" w:rsidRDefault="00FD7E7D" w:rsidP="00FD7E7D">
      <w:pPr>
        <w:spacing w:afterLines="50" w:after="156" w:line="360" w:lineRule="auto"/>
        <w:jc w:val="center"/>
        <w:rPr>
          <w:rFonts w:ascii="宋体" w:eastAsia="宋体" w:hAnsi="宋体"/>
          <w:b/>
          <w:sz w:val="44"/>
          <w:szCs w:val="44"/>
        </w:rPr>
      </w:pPr>
      <w:r w:rsidRPr="00FD7E7D">
        <w:rPr>
          <w:rFonts w:ascii="宋体" w:eastAsia="宋体" w:hAnsi="宋体" w:hint="eastAsia"/>
          <w:b/>
          <w:sz w:val="44"/>
          <w:szCs w:val="44"/>
        </w:rPr>
        <w:t>华夏医学科技奖申报推荐公示内容</w:t>
      </w:r>
    </w:p>
    <w:p w14:paraId="08C8EFDB" w14:textId="33C14055" w:rsidR="00FD7E7D" w:rsidRDefault="00577DAD" w:rsidP="00FD7E7D">
      <w:pPr>
        <w:spacing w:line="360" w:lineRule="auto"/>
        <w:rPr>
          <w:rFonts w:ascii="宋体" w:eastAsia="宋体" w:hAnsi="宋体"/>
          <w:sz w:val="24"/>
          <w:szCs w:val="24"/>
        </w:rPr>
      </w:pPr>
      <w:r>
        <w:rPr>
          <w:rFonts w:ascii="宋体" w:eastAsia="宋体" w:hAnsi="宋体" w:hint="eastAsia"/>
          <w:sz w:val="24"/>
          <w:szCs w:val="24"/>
        </w:rPr>
        <w:t>一、</w:t>
      </w:r>
      <w:r w:rsidR="00FD7E7D" w:rsidRPr="00FD7E7D">
        <w:rPr>
          <w:rFonts w:ascii="宋体" w:eastAsia="宋体" w:hAnsi="宋体" w:hint="eastAsia"/>
          <w:sz w:val="24"/>
          <w:szCs w:val="24"/>
        </w:rPr>
        <w:t>项目名称</w:t>
      </w:r>
      <w:r>
        <w:rPr>
          <w:rFonts w:ascii="宋体" w:eastAsia="宋体" w:hAnsi="宋体" w:hint="eastAsia"/>
          <w:sz w:val="24"/>
          <w:szCs w:val="24"/>
        </w:rPr>
        <w:t>：</w:t>
      </w:r>
      <w:r w:rsidR="00442F75" w:rsidRPr="00442F75">
        <w:rPr>
          <w:rFonts w:ascii="宋体" w:eastAsia="宋体" w:hAnsi="宋体"/>
          <w:sz w:val="24"/>
          <w:szCs w:val="24"/>
        </w:rPr>
        <w:t>单基因型炎症性肠病精准诊治与研究体系的建立和应用</w:t>
      </w:r>
    </w:p>
    <w:p w14:paraId="7A4984B7" w14:textId="17CDD97E" w:rsidR="00FD7E7D" w:rsidRDefault="00577DAD" w:rsidP="00FD7E7D">
      <w:pPr>
        <w:spacing w:line="360" w:lineRule="auto"/>
        <w:rPr>
          <w:rFonts w:ascii="宋体" w:eastAsia="宋体" w:hAnsi="宋体"/>
          <w:sz w:val="24"/>
          <w:szCs w:val="24"/>
        </w:rPr>
      </w:pPr>
      <w:r>
        <w:rPr>
          <w:rFonts w:ascii="宋体" w:eastAsia="宋体" w:hAnsi="宋体" w:hint="eastAsia"/>
          <w:sz w:val="24"/>
          <w:szCs w:val="24"/>
        </w:rPr>
        <w:t>二、</w:t>
      </w:r>
      <w:r w:rsidR="00FD7E7D" w:rsidRPr="00FD7E7D">
        <w:rPr>
          <w:rFonts w:ascii="宋体" w:eastAsia="宋体" w:hAnsi="宋体" w:hint="eastAsia"/>
          <w:sz w:val="24"/>
          <w:szCs w:val="24"/>
        </w:rPr>
        <w:t>推荐单位</w:t>
      </w:r>
      <w:r w:rsidR="0055589D">
        <w:rPr>
          <w:rFonts w:ascii="宋体" w:eastAsia="宋体" w:hAnsi="宋体" w:hint="eastAsia"/>
          <w:sz w:val="24"/>
          <w:szCs w:val="24"/>
        </w:rPr>
        <w:t>：</w:t>
      </w:r>
      <w:r w:rsidR="005D10D5">
        <w:rPr>
          <w:rFonts w:ascii="宋体" w:eastAsia="宋体" w:hAnsi="宋体" w:hint="eastAsia"/>
          <w:sz w:val="24"/>
          <w:szCs w:val="24"/>
        </w:rPr>
        <w:t>复旦大学</w:t>
      </w:r>
    </w:p>
    <w:p w14:paraId="2A57F657" w14:textId="55818C4E" w:rsidR="00FD7E7D" w:rsidRDefault="005565F9" w:rsidP="00FD7E7D">
      <w:pPr>
        <w:spacing w:line="360" w:lineRule="auto"/>
        <w:rPr>
          <w:rFonts w:ascii="宋体" w:eastAsia="宋体" w:hAnsi="宋体"/>
          <w:sz w:val="24"/>
          <w:szCs w:val="24"/>
        </w:rPr>
      </w:pPr>
      <w:r>
        <w:rPr>
          <w:rFonts w:ascii="宋体" w:eastAsia="宋体" w:hAnsi="宋体" w:hint="eastAsia"/>
          <w:sz w:val="24"/>
          <w:szCs w:val="24"/>
        </w:rPr>
        <w:t>三、</w:t>
      </w:r>
      <w:r w:rsidR="00FD7E7D" w:rsidRPr="00FD7E7D">
        <w:rPr>
          <w:rFonts w:ascii="宋体" w:eastAsia="宋体" w:hAnsi="宋体" w:hint="eastAsia"/>
          <w:sz w:val="24"/>
          <w:szCs w:val="24"/>
        </w:rPr>
        <w:t>主要完成单位</w:t>
      </w:r>
      <w:r>
        <w:rPr>
          <w:rFonts w:ascii="宋体" w:eastAsia="宋体" w:hAnsi="宋体" w:hint="eastAsia"/>
          <w:sz w:val="24"/>
          <w:szCs w:val="24"/>
        </w:rPr>
        <w:t>：</w:t>
      </w:r>
      <w:r w:rsidR="00442F75">
        <w:rPr>
          <w:rFonts w:ascii="宋体" w:eastAsia="宋体" w:hAnsi="宋体" w:hint="eastAsia"/>
          <w:sz w:val="24"/>
          <w:szCs w:val="24"/>
        </w:rPr>
        <w:t>复旦大学附属儿科医院、华东师范大学</w:t>
      </w:r>
    </w:p>
    <w:p w14:paraId="356CDD4D" w14:textId="552702C7" w:rsidR="00FD7E7D" w:rsidRDefault="00FE6A5E" w:rsidP="00FD7E7D">
      <w:pPr>
        <w:spacing w:line="360" w:lineRule="auto"/>
        <w:rPr>
          <w:rFonts w:ascii="宋体" w:eastAsia="宋体" w:hAnsi="宋体"/>
          <w:sz w:val="24"/>
          <w:szCs w:val="24"/>
        </w:rPr>
      </w:pPr>
      <w:r>
        <w:rPr>
          <w:rFonts w:ascii="宋体" w:eastAsia="宋体" w:hAnsi="宋体" w:hint="eastAsia"/>
          <w:sz w:val="24"/>
          <w:szCs w:val="24"/>
        </w:rPr>
        <w:t>四、</w:t>
      </w:r>
      <w:r w:rsidR="00FD7E7D" w:rsidRPr="00FD7E7D">
        <w:rPr>
          <w:rFonts w:ascii="宋体" w:eastAsia="宋体" w:hAnsi="宋体" w:hint="eastAsia"/>
          <w:sz w:val="24"/>
          <w:szCs w:val="24"/>
        </w:rPr>
        <w:t>主要完成人</w:t>
      </w:r>
      <w:r>
        <w:rPr>
          <w:rFonts w:ascii="宋体" w:eastAsia="宋体" w:hAnsi="宋体" w:hint="eastAsia"/>
          <w:sz w:val="24"/>
          <w:szCs w:val="24"/>
        </w:rPr>
        <w:t>：</w:t>
      </w:r>
      <w:r w:rsidR="00442F75">
        <w:rPr>
          <w:rFonts w:ascii="宋体" w:eastAsia="宋体" w:hAnsi="宋体" w:hint="eastAsia"/>
          <w:sz w:val="24"/>
          <w:szCs w:val="24"/>
        </w:rPr>
        <w:t>黄瑛、翟晓文、董岿然、李大力、王琳、周颖、郑翠芳、黄志恒、钱晓文、孙松</w:t>
      </w:r>
    </w:p>
    <w:p w14:paraId="434BBC8A" w14:textId="730AD365" w:rsidR="00FD7E7D" w:rsidRDefault="002059DB" w:rsidP="00FD7E7D">
      <w:pPr>
        <w:spacing w:line="360" w:lineRule="auto"/>
        <w:rPr>
          <w:rFonts w:ascii="宋体" w:eastAsia="宋体" w:hAnsi="宋体"/>
          <w:sz w:val="24"/>
          <w:szCs w:val="24"/>
        </w:rPr>
      </w:pPr>
      <w:r>
        <w:rPr>
          <w:rFonts w:ascii="宋体" w:eastAsia="宋体" w:hAnsi="宋体" w:hint="eastAsia"/>
          <w:sz w:val="24"/>
          <w:szCs w:val="24"/>
        </w:rPr>
        <w:t>五、</w:t>
      </w:r>
      <w:r w:rsidR="00FD7E7D" w:rsidRPr="00FD7E7D">
        <w:rPr>
          <w:rFonts w:ascii="宋体" w:eastAsia="宋体" w:hAnsi="宋体" w:hint="eastAsia"/>
          <w:sz w:val="24"/>
          <w:szCs w:val="24"/>
        </w:rPr>
        <w:t>项目简介</w:t>
      </w:r>
      <w:r w:rsidR="00AA0832">
        <w:rPr>
          <w:rFonts w:ascii="宋体" w:eastAsia="宋体" w:hAnsi="宋体" w:hint="eastAsia"/>
          <w:sz w:val="24"/>
          <w:szCs w:val="24"/>
        </w:rPr>
        <w:t>：</w:t>
      </w:r>
    </w:p>
    <w:p w14:paraId="354ADD25" w14:textId="77777777" w:rsidR="00C20422" w:rsidRPr="00C20422" w:rsidRDefault="00C20422" w:rsidP="00C20422">
      <w:pPr>
        <w:spacing w:line="360" w:lineRule="auto"/>
        <w:ind w:firstLineChars="200" w:firstLine="480"/>
        <w:rPr>
          <w:rFonts w:ascii="Times New Roman" w:eastAsia="宋体" w:hAnsi="Times New Roman" w:cs="Times New Roman"/>
          <w:sz w:val="24"/>
          <w:szCs w:val="24"/>
        </w:rPr>
      </w:pPr>
      <w:r w:rsidRPr="00C20422">
        <w:rPr>
          <w:rFonts w:ascii="Times New Roman" w:eastAsia="宋体" w:hAnsi="Times New Roman" w:cs="Times New Roman"/>
          <w:sz w:val="24"/>
          <w:szCs w:val="24"/>
        </w:rPr>
        <w:t>单基因型炎症性肠病（</w:t>
      </w:r>
      <w:r w:rsidRPr="00C20422">
        <w:rPr>
          <w:rFonts w:ascii="Times New Roman" w:eastAsia="宋体" w:hAnsi="Times New Roman" w:cs="Times New Roman"/>
          <w:sz w:val="24"/>
          <w:szCs w:val="24"/>
        </w:rPr>
        <w:t>IBD</w:t>
      </w:r>
      <w:r w:rsidRPr="00C20422">
        <w:rPr>
          <w:rFonts w:ascii="Times New Roman" w:eastAsia="宋体" w:hAnsi="Times New Roman" w:cs="Times New Roman"/>
          <w:sz w:val="24"/>
          <w:szCs w:val="24"/>
        </w:rPr>
        <w:t>）是消化领域诊疗的热点和难点，项目从临床问题出发，结合基础和转化研究，搭建围绕单基因型</w:t>
      </w:r>
      <w:r w:rsidRPr="00C20422">
        <w:rPr>
          <w:rFonts w:ascii="Times New Roman" w:eastAsia="宋体" w:hAnsi="Times New Roman" w:cs="Times New Roman"/>
          <w:sz w:val="24"/>
          <w:szCs w:val="24"/>
        </w:rPr>
        <w:t>IBD</w:t>
      </w:r>
      <w:r w:rsidRPr="00C20422">
        <w:rPr>
          <w:rFonts w:ascii="Times New Roman" w:eastAsia="宋体" w:hAnsi="Times New Roman" w:cs="Times New Roman"/>
          <w:sz w:val="24"/>
          <w:szCs w:val="24"/>
        </w:rPr>
        <w:t>病因、表型、精准治疗、产前诊断干预一体的</w:t>
      </w:r>
      <w:r w:rsidRPr="00C20422">
        <w:rPr>
          <w:rFonts w:ascii="Times New Roman" w:eastAsia="宋体" w:hAnsi="Times New Roman" w:cs="Times New Roman"/>
          <w:sz w:val="24"/>
          <w:szCs w:val="24"/>
        </w:rPr>
        <w:t>“P4”</w:t>
      </w:r>
      <w:r w:rsidRPr="00C20422">
        <w:rPr>
          <w:rFonts w:ascii="Times New Roman" w:eastAsia="宋体" w:hAnsi="Times New Roman" w:cs="Times New Roman"/>
          <w:sz w:val="24"/>
          <w:szCs w:val="24"/>
        </w:rPr>
        <w:t>闭环式精准诊治及研究体系，主要研究内容及科学发现如下：</w:t>
      </w:r>
    </w:p>
    <w:p w14:paraId="1412AC2F" w14:textId="77777777" w:rsidR="00C20422" w:rsidRPr="00C20422" w:rsidRDefault="00C20422" w:rsidP="00C20422">
      <w:pPr>
        <w:spacing w:line="360" w:lineRule="auto"/>
        <w:ind w:firstLineChars="200" w:firstLine="480"/>
        <w:rPr>
          <w:rFonts w:ascii="Times New Roman" w:eastAsia="宋体" w:hAnsi="Times New Roman" w:cs="Times New Roman"/>
          <w:sz w:val="24"/>
          <w:szCs w:val="24"/>
        </w:rPr>
      </w:pPr>
      <w:r w:rsidRPr="00C20422">
        <w:rPr>
          <w:rFonts w:ascii="Times New Roman" w:eastAsia="宋体" w:hAnsi="Times New Roman" w:cs="Times New Roman"/>
          <w:sz w:val="24"/>
          <w:szCs w:val="24"/>
        </w:rPr>
        <w:t>1</w:t>
      </w:r>
      <w:r w:rsidRPr="00C20422">
        <w:rPr>
          <w:rFonts w:ascii="Times New Roman" w:eastAsia="宋体" w:hAnsi="Times New Roman" w:cs="Times New Roman"/>
          <w:sz w:val="24"/>
          <w:szCs w:val="24"/>
        </w:rPr>
        <w:t>）发现单基因型</w:t>
      </w:r>
      <w:r w:rsidRPr="00C20422">
        <w:rPr>
          <w:rFonts w:ascii="Times New Roman" w:eastAsia="宋体" w:hAnsi="Times New Roman" w:cs="Times New Roman"/>
          <w:sz w:val="24"/>
          <w:szCs w:val="24"/>
        </w:rPr>
        <w:t>IBD</w:t>
      </w:r>
      <w:r w:rsidRPr="00C20422">
        <w:rPr>
          <w:rFonts w:ascii="Times New Roman" w:eastAsia="宋体" w:hAnsi="Times New Roman" w:cs="Times New Roman"/>
          <w:sz w:val="24"/>
          <w:szCs w:val="24"/>
        </w:rPr>
        <w:t>病因（</w:t>
      </w:r>
      <w:r w:rsidRPr="00C20422">
        <w:rPr>
          <w:rFonts w:ascii="Times New Roman" w:eastAsia="宋体" w:hAnsi="Times New Roman" w:cs="Times New Roman"/>
          <w:sz w:val="24"/>
          <w:szCs w:val="24"/>
        </w:rPr>
        <w:t>Pathogenesis</w:t>
      </w:r>
      <w:r w:rsidRPr="00C20422">
        <w:rPr>
          <w:rFonts w:ascii="Times New Roman" w:eastAsia="宋体" w:hAnsi="Times New Roman" w:cs="Times New Roman"/>
          <w:sz w:val="24"/>
          <w:szCs w:val="24"/>
        </w:rPr>
        <w:t>），解析其致病机制：首次报道致病新基因</w:t>
      </w:r>
      <w:r w:rsidRPr="00C20422">
        <w:rPr>
          <w:rFonts w:ascii="Times New Roman" w:eastAsia="宋体" w:hAnsi="Times New Roman" w:cs="Times New Roman"/>
          <w:i/>
          <w:iCs/>
          <w:sz w:val="24"/>
          <w:szCs w:val="24"/>
        </w:rPr>
        <w:t>SYK</w:t>
      </w:r>
      <w:r w:rsidRPr="00C20422">
        <w:rPr>
          <w:rFonts w:ascii="Times New Roman" w:eastAsia="宋体" w:hAnsi="Times New Roman" w:cs="Times New Roman"/>
          <w:sz w:val="24"/>
          <w:szCs w:val="24"/>
        </w:rPr>
        <w:t>及机制，构建全球第一个模拟人类点突变产生自发性关节炎小鼠模型，被</w:t>
      </w:r>
      <w:r w:rsidRPr="00C20422">
        <w:rPr>
          <w:rFonts w:ascii="Times New Roman" w:eastAsia="宋体" w:hAnsi="Times New Roman" w:cs="Times New Roman"/>
          <w:sz w:val="24"/>
          <w:szCs w:val="24"/>
        </w:rPr>
        <w:t>OMIM</w:t>
      </w:r>
      <w:r w:rsidRPr="00C20422">
        <w:rPr>
          <w:rFonts w:ascii="Times New Roman" w:eastAsia="宋体" w:hAnsi="Times New Roman" w:cs="Times New Roman"/>
          <w:sz w:val="24"/>
          <w:szCs w:val="24"/>
        </w:rPr>
        <w:t>权威数据库收录。国际上首次揭示东亚人群中</w:t>
      </w:r>
      <w:r w:rsidRPr="00C20422">
        <w:rPr>
          <w:rFonts w:ascii="Times New Roman" w:eastAsia="宋体" w:hAnsi="Times New Roman" w:cs="Times New Roman"/>
          <w:i/>
          <w:iCs/>
          <w:sz w:val="24"/>
          <w:szCs w:val="24"/>
        </w:rPr>
        <w:t>IL10</w:t>
      </w:r>
      <w:r w:rsidRPr="00C20422">
        <w:rPr>
          <w:rFonts w:ascii="Times New Roman" w:eastAsia="宋体" w:hAnsi="Times New Roman" w:cs="Times New Roman"/>
          <w:sz w:val="24"/>
          <w:szCs w:val="24"/>
        </w:rPr>
        <w:t>相关基因突变</w:t>
      </w:r>
      <w:r w:rsidRPr="00C20422">
        <w:rPr>
          <w:rFonts w:ascii="Times New Roman" w:eastAsia="宋体" w:hAnsi="Times New Roman" w:cs="Times New Roman"/>
          <w:sz w:val="24"/>
          <w:szCs w:val="24"/>
        </w:rPr>
        <w:t>IBD</w:t>
      </w:r>
      <w:r w:rsidRPr="00C20422">
        <w:rPr>
          <w:rFonts w:ascii="Times New Roman" w:eastAsia="宋体" w:hAnsi="Times New Roman" w:cs="Times New Roman"/>
          <w:sz w:val="24"/>
          <w:szCs w:val="24"/>
        </w:rPr>
        <w:t>的热点突变，率先报道</w:t>
      </w:r>
      <w:r w:rsidRPr="00C20422">
        <w:rPr>
          <w:rFonts w:ascii="Times New Roman" w:eastAsia="宋体" w:hAnsi="Times New Roman" w:cs="Times New Roman"/>
          <w:i/>
          <w:iCs/>
          <w:sz w:val="24"/>
          <w:szCs w:val="24"/>
        </w:rPr>
        <w:t>TNFAIP3</w:t>
      </w:r>
      <w:r w:rsidRPr="00C20422">
        <w:rPr>
          <w:rFonts w:ascii="Times New Roman" w:eastAsia="宋体" w:hAnsi="Times New Roman" w:cs="Times New Roman"/>
          <w:i/>
          <w:iCs/>
          <w:sz w:val="24"/>
          <w:szCs w:val="24"/>
        </w:rPr>
        <w:t>、</w:t>
      </w:r>
      <w:r w:rsidRPr="00C20422">
        <w:rPr>
          <w:rFonts w:ascii="Times New Roman" w:eastAsia="宋体" w:hAnsi="Times New Roman" w:cs="Times New Roman"/>
          <w:i/>
          <w:iCs/>
          <w:sz w:val="24"/>
          <w:szCs w:val="24"/>
        </w:rPr>
        <w:t>CARD11</w:t>
      </w:r>
      <w:r w:rsidRPr="00C20422">
        <w:rPr>
          <w:rFonts w:ascii="Times New Roman" w:eastAsia="宋体" w:hAnsi="Times New Roman" w:cs="Times New Roman"/>
          <w:sz w:val="24"/>
          <w:szCs w:val="24"/>
        </w:rPr>
        <w:t>等基因突变和</w:t>
      </w:r>
      <w:r w:rsidRPr="00C20422">
        <w:rPr>
          <w:rFonts w:ascii="Times New Roman" w:eastAsia="宋体" w:hAnsi="Times New Roman" w:cs="Times New Roman"/>
          <w:sz w:val="24"/>
          <w:szCs w:val="24"/>
        </w:rPr>
        <w:t>IBD</w:t>
      </w:r>
      <w:r w:rsidRPr="00C20422">
        <w:rPr>
          <w:rFonts w:ascii="Times New Roman" w:eastAsia="宋体" w:hAnsi="Times New Roman" w:cs="Times New Roman"/>
          <w:sz w:val="24"/>
          <w:szCs w:val="24"/>
        </w:rPr>
        <w:t>发病相关，描绘致病基因谱系特征。</w:t>
      </w:r>
    </w:p>
    <w:p w14:paraId="2B645573" w14:textId="77777777" w:rsidR="00C20422" w:rsidRPr="00C20422" w:rsidRDefault="00C20422" w:rsidP="00C20422">
      <w:pPr>
        <w:spacing w:line="360" w:lineRule="auto"/>
        <w:ind w:firstLineChars="200" w:firstLine="480"/>
        <w:rPr>
          <w:rFonts w:ascii="Times New Roman" w:eastAsia="宋体" w:hAnsi="Times New Roman" w:cs="Times New Roman"/>
          <w:sz w:val="24"/>
          <w:szCs w:val="24"/>
        </w:rPr>
      </w:pPr>
      <w:r w:rsidRPr="00C20422">
        <w:rPr>
          <w:rFonts w:ascii="Times New Roman" w:eastAsia="宋体" w:hAnsi="Times New Roman" w:cs="Times New Roman"/>
          <w:sz w:val="24"/>
          <w:szCs w:val="24"/>
        </w:rPr>
        <w:t>2</w:t>
      </w:r>
      <w:r w:rsidRPr="00C20422">
        <w:rPr>
          <w:rFonts w:ascii="Times New Roman" w:eastAsia="宋体" w:hAnsi="Times New Roman" w:cs="Times New Roman"/>
          <w:sz w:val="24"/>
          <w:szCs w:val="24"/>
        </w:rPr>
        <w:t>）构建国内最大儿童</w:t>
      </w:r>
      <w:r w:rsidRPr="00C20422">
        <w:rPr>
          <w:rFonts w:ascii="Times New Roman" w:eastAsia="宋体" w:hAnsi="Times New Roman" w:cs="Times New Roman"/>
          <w:sz w:val="24"/>
          <w:szCs w:val="24"/>
        </w:rPr>
        <w:t>IBD</w:t>
      </w:r>
      <w:r w:rsidRPr="00C20422">
        <w:rPr>
          <w:rFonts w:ascii="Times New Roman" w:eastAsia="宋体" w:hAnsi="Times New Roman" w:cs="Times New Roman"/>
          <w:sz w:val="24"/>
          <w:szCs w:val="24"/>
        </w:rPr>
        <w:t>数据库和样本库，系统阐明单基因型</w:t>
      </w:r>
      <w:r w:rsidRPr="00C20422">
        <w:rPr>
          <w:rFonts w:ascii="Times New Roman" w:eastAsia="宋体" w:hAnsi="Times New Roman" w:cs="Times New Roman"/>
          <w:sz w:val="24"/>
          <w:szCs w:val="24"/>
        </w:rPr>
        <w:t>IBD</w:t>
      </w:r>
      <w:r w:rsidRPr="00C20422">
        <w:rPr>
          <w:rFonts w:ascii="Times New Roman" w:eastAsia="宋体" w:hAnsi="Times New Roman" w:cs="Times New Roman"/>
          <w:sz w:val="24"/>
          <w:szCs w:val="24"/>
        </w:rPr>
        <w:t>临床表型谱（</w:t>
      </w:r>
      <w:r w:rsidRPr="00C20422">
        <w:rPr>
          <w:rFonts w:ascii="Times New Roman" w:eastAsia="宋体" w:hAnsi="Times New Roman" w:cs="Times New Roman"/>
          <w:sz w:val="24"/>
          <w:szCs w:val="24"/>
        </w:rPr>
        <w:t>Phenotype</w:t>
      </w:r>
      <w:r w:rsidRPr="00C20422">
        <w:rPr>
          <w:rFonts w:ascii="Times New Roman" w:eastAsia="宋体" w:hAnsi="Times New Roman" w:cs="Times New Roman"/>
          <w:sz w:val="24"/>
          <w:szCs w:val="24"/>
        </w:rPr>
        <w:t>）：首次报道全球范围内单中心</w:t>
      </w:r>
      <w:r w:rsidRPr="00C20422">
        <w:rPr>
          <w:rFonts w:ascii="Times New Roman" w:eastAsia="宋体" w:hAnsi="Times New Roman" w:cs="Times New Roman"/>
          <w:i/>
          <w:iCs/>
          <w:sz w:val="24"/>
          <w:szCs w:val="24"/>
        </w:rPr>
        <w:t>IL10</w:t>
      </w:r>
      <w:r w:rsidRPr="00C20422">
        <w:rPr>
          <w:rFonts w:ascii="Times New Roman" w:eastAsia="宋体" w:hAnsi="Times New Roman" w:cs="Times New Roman"/>
          <w:sz w:val="24"/>
          <w:szCs w:val="24"/>
        </w:rPr>
        <w:t>相关基因突变</w:t>
      </w:r>
      <w:r w:rsidRPr="00C20422">
        <w:rPr>
          <w:rFonts w:ascii="Times New Roman" w:eastAsia="宋体" w:hAnsi="Times New Roman" w:cs="Times New Roman"/>
          <w:sz w:val="24"/>
          <w:szCs w:val="24"/>
        </w:rPr>
        <w:t>IBD</w:t>
      </w:r>
      <w:r w:rsidRPr="00C20422">
        <w:rPr>
          <w:rFonts w:ascii="Times New Roman" w:eastAsia="宋体" w:hAnsi="Times New Roman" w:cs="Times New Roman"/>
          <w:sz w:val="24"/>
          <w:szCs w:val="24"/>
        </w:rPr>
        <w:t>最大队列的临床特征；国际上率先报道</w:t>
      </w:r>
      <w:r w:rsidRPr="00C20422">
        <w:rPr>
          <w:rFonts w:ascii="Times New Roman" w:eastAsia="宋体" w:hAnsi="Times New Roman" w:cs="Times New Roman"/>
          <w:i/>
          <w:iCs/>
          <w:sz w:val="24"/>
          <w:szCs w:val="24"/>
        </w:rPr>
        <w:t>TNFAIP3</w:t>
      </w:r>
      <w:r w:rsidRPr="00C20422">
        <w:rPr>
          <w:rFonts w:ascii="Times New Roman" w:eastAsia="宋体" w:hAnsi="Times New Roman" w:cs="Times New Roman"/>
          <w:sz w:val="24"/>
          <w:szCs w:val="24"/>
        </w:rPr>
        <w:t>基因突变儿童</w:t>
      </w:r>
      <w:r w:rsidRPr="00C20422">
        <w:rPr>
          <w:rFonts w:ascii="Times New Roman" w:eastAsia="宋体" w:hAnsi="Times New Roman" w:cs="Times New Roman"/>
          <w:sz w:val="24"/>
          <w:szCs w:val="24"/>
        </w:rPr>
        <w:t>IBD</w:t>
      </w:r>
      <w:r w:rsidRPr="00C20422">
        <w:rPr>
          <w:rFonts w:ascii="Times New Roman" w:eastAsia="宋体" w:hAnsi="Times New Roman" w:cs="Times New Roman"/>
          <w:sz w:val="24"/>
          <w:szCs w:val="24"/>
        </w:rPr>
        <w:t>临床表型异质性，明确临床表型谱。</w:t>
      </w:r>
    </w:p>
    <w:p w14:paraId="432EF677" w14:textId="77777777" w:rsidR="00C20422" w:rsidRPr="00C20422" w:rsidRDefault="00C20422" w:rsidP="00C20422">
      <w:pPr>
        <w:spacing w:line="360" w:lineRule="auto"/>
        <w:ind w:firstLineChars="200" w:firstLine="480"/>
        <w:rPr>
          <w:rFonts w:ascii="Times New Roman" w:eastAsia="宋体" w:hAnsi="Times New Roman" w:cs="Times New Roman"/>
          <w:sz w:val="24"/>
          <w:szCs w:val="24"/>
        </w:rPr>
      </w:pPr>
      <w:r w:rsidRPr="00C20422">
        <w:rPr>
          <w:rFonts w:ascii="Times New Roman" w:eastAsia="宋体" w:hAnsi="Times New Roman" w:cs="Times New Roman"/>
          <w:sz w:val="24"/>
          <w:szCs w:val="24"/>
        </w:rPr>
        <w:t>3</w:t>
      </w:r>
      <w:r w:rsidRPr="00C20422">
        <w:rPr>
          <w:rFonts w:ascii="Times New Roman" w:eastAsia="宋体" w:hAnsi="Times New Roman" w:cs="Times New Roman"/>
          <w:sz w:val="24"/>
          <w:szCs w:val="24"/>
        </w:rPr>
        <w:t>）结合单基因型</w:t>
      </w:r>
      <w:r w:rsidRPr="00C20422">
        <w:rPr>
          <w:rFonts w:ascii="Times New Roman" w:eastAsia="宋体" w:hAnsi="Times New Roman" w:cs="Times New Roman"/>
          <w:sz w:val="24"/>
          <w:szCs w:val="24"/>
        </w:rPr>
        <w:t>IBD</w:t>
      </w:r>
      <w:r w:rsidRPr="00C20422">
        <w:rPr>
          <w:rFonts w:ascii="Times New Roman" w:eastAsia="宋体" w:hAnsi="Times New Roman" w:cs="Times New Roman"/>
          <w:sz w:val="24"/>
          <w:szCs w:val="24"/>
        </w:rPr>
        <w:t>基因型</w:t>
      </w:r>
      <w:r w:rsidRPr="00C20422">
        <w:rPr>
          <w:rFonts w:ascii="Times New Roman" w:eastAsia="宋体" w:hAnsi="Times New Roman" w:cs="Times New Roman"/>
          <w:sz w:val="24"/>
          <w:szCs w:val="24"/>
        </w:rPr>
        <w:t>-</w:t>
      </w:r>
      <w:r w:rsidRPr="00C20422">
        <w:rPr>
          <w:rFonts w:ascii="Times New Roman" w:eastAsia="宋体" w:hAnsi="Times New Roman" w:cs="Times New Roman"/>
          <w:sz w:val="24"/>
          <w:szCs w:val="24"/>
        </w:rPr>
        <w:t>表型研究，实现药物治疗</w:t>
      </w:r>
      <w:r w:rsidRPr="00C20422">
        <w:rPr>
          <w:rFonts w:ascii="Times New Roman" w:eastAsia="宋体" w:hAnsi="Times New Roman" w:cs="Times New Roman"/>
          <w:sz w:val="24"/>
          <w:szCs w:val="24"/>
        </w:rPr>
        <w:t>-</w:t>
      </w:r>
      <w:r w:rsidRPr="00C20422">
        <w:rPr>
          <w:rFonts w:ascii="Times New Roman" w:eastAsia="宋体" w:hAnsi="Times New Roman" w:cs="Times New Roman"/>
          <w:sz w:val="24"/>
          <w:szCs w:val="24"/>
        </w:rPr>
        <w:t>手术</w:t>
      </w:r>
      <w:r w:rsidRPr="00C20422">
        <w:rPr>
          <w:rFonts w:ascii="Times New Roman" w:eastAsia="宋体" w:hAnsi="Times New Roman" w:cs="Times New Roman"/>
          <w:sz w:val="24"/>
          <w:szCs w:val="24"/>
        </w:rPr>
        <w:t>-</w:t>
      </w:r>
      <w:r w:rsidRPr="00C20422">
        <w:rPr>
          <w:rFonts w:ascii="Times New Roman" w:eastAsia="宋体" w:hAnsi="Times New Roman" w:cs="Times New Roman"/>
          <w:sz w:val="24"/>
          <w:szCs w:val="24"/>
        </w:rPr>
        <w:t>移植多方位的精准治疗策略（</w:t>
      </w:r>
      <w:r w:rsidRPr="00C20422">
        <w:rPr>
          <w:rFonts w:ascii="Times New Roman" w:eastAsia="宋体" w:hAnsi="Times New Roman" w:cs="Times New Roman"/>
          <w:sz w:val="24"/>
          <w:szCs w:val="24"/>
        </w:rPr>
        <w:t>Precision therapy</w:t>
      </w:r>
      <w:r w:rsidRPr="00C20422">
        <w:rPr>
          <w:rFonts w:ascii="Times New Roman" w:eastAsia="宋体" w:hAnsi="Times New Roman" w:cs="Times New Roman"/>
          <w:sz w:val="24"/>
          <w:szCs w:val="24"/>
        </w:rPr>
        <w:t>）：国际上创新性采用减低剂量预处理方案后脐血干细胞移植治愈单基因型</w:t>
      </w:r>
      <w:r w:rsidRPr="00C20422">
        <w:rPr>
          <w:rFonts w:ascii="Times New Roman" w:eastAsia="宋体" w:hAnsi="Times New Roman" w:cs="Times New Roman"/>
          <w:sz w:val="24"/>
          <w:szCs w:val="24"/>
        </w:rPr>
        <w:t>IBD</w:t>
      </w:r>
      <w:r w:rsidRPr="00C20422">
        <w:rPr>
          <w:rFonts w:ascii="Times New Roman" w:eastAsia="宋体" w:hAnsi="Times New Roman" w:cs="Times New Roman"/>
          <w:sz w:val="24"/>
          <w:szCs w:val="24"/>
        </w:rPr>
        <w:t>，全球范围内完成干细胞移植治疗</w:t>
      </w:r>
      <w:r w:rsidRPr="00C20422">
        <w:rPr>
          <w:rFonts w:ascii="Times New Roman" w:eastAsia="宋体" w:hAnsi="Times New Roman" w:cs="Times New Roman"/>
          <w:i/>
          <w:iCs/>
          <w:sz w:val="24"/>
          <w:szCs w:val="24"/>
        </w:rPr>
        <w:t>IL10</w:t>
      </w:r>
      <w:r w:rsidRPr="00C20422">
        <w:rPr>
          <w:rFonts w:ascii="Times New Roman" w:eastAsia="宋体" w:hAnsi="Times New Roman" w:cs="Times New Roman"/>
          <w:sz w:val="24"/>
          <w:szCs w:val="24"/>
        </w:rPr>
        <w:t>相关基因突变</w:t>
      </w:r>
      <w:r w:rsidRPr="00C20422">
        <w:rPr>
          <w:rFonts w:ascii="Times New Roman" w:eastAsia="宋体" w:hAnsi="Times New Roman" w:cs="Times New Roman"/>
          <w:sz w:val="24"/>
          <w:szCs w:val="24"/>
        </w:rPr>
        <w:t>IBD</w:t>
      </w:r>
      <w:r w:rsidRPr="00C20422">
        <w:rPr>
          <w:rFonts w:ascii="Times New Roman" w:eastAsia="宋体" w:hAnsi="Times New Roman" w:cs="Times New Roman"/>
          <w:sz w:val="24"/>
          <w:szCs w:val="24"/>
        </w:rPr>
        <w:t>最多的中心，首次报道长期随访结局和生存率；国际上率先报道沙利度胺在单基因型</w:t>
      </w:r>
      <w:r w:rsidRPr="00C20422">
        <w:rPr>
          <w:rFonts w:ascii="Times New Roman" w:eastAsia="宋体" w:hAnsi="Times New Roman" w:cs="Times New Roman"/>
          <w:sz w:val="24"/>
          <w:szCs w:val="24"/>
        </w:rPr>
        <w:t>IBD</w:t>
      </w:r>
      <w:r w:rsidRPr="00C20422">
        <w:rPr>
          <w:rFonts w:ascii="Times New Roman" w:eastAsia="宋体" w:hAnsi="Times New Roman" w:cs="Times New Roman"/>
          <w:sz w:val="24"/>
          <w:szCs w:val="24"/>
        </w:rPr>
        <w:t>中突出疗效；创新性开展保护性肠造口手术，系统提出新的外科干预思路并制定首个外科管理共识。</w:t>
      </w:r>
      <w:r w:rsidRPr="00C20422">
        <w:rPr>
          <w:rFonts w:ascii="Times New Roman" w:eastAsia="宋体" w:hAnsi="Times New Roman" w:cs="Times New Roman"/>
          <w:sz w:val="24"/>
          <w:szCs w:val="24"/>
        </w:rPr>
        <w:t xml:space="preserve"> </w:t>
      </w:r>
    </w:p>
    <w:p w14:paraId="7BB21D53" w14:textId="77777777" w:rsidR="00C20422" w:rsidRPr="00C20422" w:rsidRDefault="00C20422" w:rsidP="00C20422">
      <w:pPr>
        <w:spacing w:line="360" w:lineRule="auto"/>
        <w:ind w:firstLineChars="200" w:firstLine="480"/>
        <w:rPr>
          <w:rFonts w:ascii="Times New Roman" w:eastAsia="宋体" w:hAnsi="Times New Roman" w:cs="Times New Roman"/>
          <w:sz w:val="24"/>
          <w:szCs w:val="24"/>
        </w:rPr>
      </w:pPr>
      <w:r w:rsidRPr="00C20422">
        <w:rPr>
          <w:rFonts w:ascii="Times New Roman" w:eastAsia="宋体" w:hAnsi="Times New Roman" w:cs="Times New Roman"/>
          <w:sz w:val="24"/>
          <w:szCs w:val="24"/>
        </w:rPr>
        <w:t>4</w:t>
      </w:r>
      <w:r w:rsidRPr="00C20422">
        <w:rPr>
          <w:rFonts w:ascii="Times New Roman" w:eastAsia="宋体" w:hAnsi="Times New Roman" w:cs="Times New Roman"/>
          <w:sz w:val="24"/>
          <w:szCs w:val="24"/>
        </w:rPr>
        <w:t>）建立单基因型</w:t>
      </w:r>
      <w:r w:rsidRPr="00C20422">
        <w:rPr>
          <w:rFonts w:ascii="Times New Roman" w:eastAsia="宋体" w:hAnsi="Times New Roman" w:cs="Times New Roman"/>
          <w:sz w:val="24"/>
          <w:szCs w:val="24"/>
        </w:rPr>
        <w:t>IBD</w:t>
      </w:r>
      <w:r w:rsidRPr="00C20422">
        <w:rPr>
          <w:rFonts w:ascii="Times New Roman" w:eastAsia="宋体" w:hAnsi="Times New Roman" w:cs="Times New Roman"/>
          <w:sz w:val="24"/>
          <w:szCs w:val="24"/>
        </w:rPr>
        <w:t>产前诊断干预体系（</w:t>
      </w:r>
      <w:r w:rsidRPr="00C20422">
        <w:rPr>
          <w:rFonts w:ascii="Times New Roman" w:eastAsia="宋体" w:hAnsi="Times New Roman" w:cs="Times New Roman"/>
          <w:sz w:val="24"/>
          <w:szCs w:val="24"/>
        </w:rPr>
        <w:t>Prenatal testing</w:t>
      </w:r>
      <w:r w:rsidRPr="00C20422">
        <w:rPr>
          <w:rFonts w:ascii="Times New Roman" w:eastAsia="宋体" w:hAnsi="Times New Roman" w:cs="Times New Roman"/>
          <w:sz w:val="24"/>
          <w:szCs w:val="24"/>
        </w:rPr>
        <w:t>），完善精准防控策略：国际上首次报道</w:t>
      </w:r>
      <w:r w:rsidRPr="00C20422">
        <w:rPr>
          <w:rFonts w:ascii="Times New Roman" w:eastAsia="宋体" w:hAnsi="Times New Roman" w:cs="Times New Roman"/>
          <w:i/>
          <w:iCs/>
          <w:sz w:val="24"/>
          <w:szCs w:val="24"/>
        </w:rPr>
        <w:t>IL10</w:t>
      </w:r>
      <w:r w:rsidRPr="00C20422">
        <w:rPr>
          <w:rFonts w:ascii="Times New Roman" w:eastAsia="宋体" w:hAnsi="Times New Roman" w:cs="Times New Roman"/>
          <w:sz w:val="24"/>
          <w:szCs w:val="24"/>
        </w:rPr>
        <w:t>相关基因突变</w:t>
      </w:r>
      <w:r w:rsidRPr="00C20422">
        <w:rPr>
          <w:rFonts w:ascii="Times New Roman" w:eastAsia="宋体" w:hAnsi="Times New Roman" w:cs="Times New Roman"/>
          <w:sz w:val="24"/>
          <w:szCs w:val="24"/>
        </w:rPr>
        <w:t>IBD</w:t>
      </w:r>
      <w:r w:rsidRPr="00C20422">
        <w:rPr>
          <w:rFonts w:ascii="Times New Roman" w:eastAsia="宋体" w:hAnsi="Times New Roman" w:cs="Times New Roman"/>
          <w:sz w:val="24"/>
          <w:szCs w:val="24"/>
        </w:rPr>
        <w:t>产前基因检测及早期干预的结局，该循证证据被欧洲儿童胃肠肝病营养学会共识引用。</w:t>
      </w:r>
    </w:p>
    <w:p w14:paraId="015CCA0C" w14:textId="4279CFF2" w:rsidR="00C20422" w:rsidRDefault="00C20422" w:rsidP="00C20422">
      <w:pPr>
        <w:spacing w:line="360" w:lineRule="auto"/>
        <w:ind w:firstLineChars="200" w:firstLine="480"/>
        <w:rPr>
          <w:rFonts w:ascii="Times New Roman" w:eastAsia="宋体" w:hAnsi="Times New Roman" w:cs="Times New Roman"/>
          <w:sz w:val="24"/>
          <w:szCs w:val="24"/>
        </w:rPr>
      </w:pPr>
      <w:r w:rsidRPr="00C20422">
        <w:rPr>
          <w:rFonts w:ascii="Times New Roman" w:eastAsia="宋体" w:hAnsi="Times New Roman" w:cs="Times New Roman"/>
          <w:sz w:val="24"/>
          <w:szCs w:val="24"/>
        </w:rPr>
        <w:lastRenderedPageBreak/>
        <w:t>应用推广：</w:t>
      </w:r>
      <w:r w:rsidRPr="00C20422">
        <w:rPr>
          <w:rFonts w:ascii="Times New Roman" w:eastAsia="宋体" w:hAnsi="Times New Roman" w:cs="Times New Roman"/>
          <w:sz w:val="24"/>
          <w:szCs w:val="24"/>
        </w:rPr>
        <w:t>10</w:t>
      </w:r>
      <w:r w:rsidRPr="00C20422">
        <w:rPr>
          <w:rFonts w:ascii="Times New Roman" w:eastAsia="宋体" w:hAnsi="Times New Roman" w:cs="Times New Roman"/>
          <w:sz w:val="24"/>
          <w:szCs w:val="24"/>
        </w:rPr>
        <w:t>篇代表性论文研究成果在本领域</w:t>
      </w:r>
      <w:r w:rsidR="00A24B20">
        <w:rPr>
          <w:rFonts w:ascii="Times New Roman" w:eastAsia="宋体" w:hAnsi="Times New Roman" w:cs="Times New Roman" w:hint="eastAsia"/>
          <w:sz w:val="24"/>
          <w:szCs w:val="24"/>
        </w:rPr>
        <w:t>知名</w:t>
      </w:r>
      <w:r w:rsidRPr="00C20422">
        <w:rPr>
          <w:rFonts w:ascii="Times New Roman" w:eastAsia="宋体" w:hAnsi="Times New Roman" w:cs="Times New Roman"/>
          <w:sz w:val="24"/>
          <w:szCs w:val="24"/>
        </w:rPr>
        <w:t>期刊</w:t>
      </w:r>
      <w:r w:rsidRPr="00C20422">
        <w:rPr>
          <w:rFonts w:ascii="Times New Roman" w:eastAsia="宋体" w:hAnsi="Times New Roman" w:cs="Times New Roman"/>
          <w:sz w:val="24"/>
          <w:szCs w:val="24"/>
        </w:rPr>
        <w:t>Nature Genetics</w:t>
      </w:r>
      <w:r w:rsidRPr="00C20422">
        <w:rPr>
          <w:rFonts w:ascii="Times New Roman" w:eastAsia="宋体" w:hAnsi="Times New Roman" w:cs="Times New Roman"/>
          <w:sz w:val="24"/>
          <w:szCs w:val="24"/>
        </w:rPr>
        <w:t>、</w:t>
      </w:r>
      <w:r w:rsidRPr="00C20422">
        <w:rPr>
          <w:rFonts w:ascii="Times New Roman" w:eastAsia="宋体" w:hAnsi="Times New Roman" w:cs="Times New Roman"/>
          <w:sz w:val="24"/>
          <w:szCs w:val="24"/>
        </w:rPr>
        <w:t>Genetics in Medicine</w:t>
      </w:r>
      <w:r w:rsidRPr="00C20422">
        <w:rPr>
          <w:rFonts w:ascii="Times New Roman" w:eastAsia="宋体" w:hAnsi="Times New Roman" w:cs="Times New Roman"/>
          <w:sz w:val="24"/>
          <w:szCs w:val="24"/>
        </w:rPr>
        <w:t>等发表，主持国内共识</w:t>
      </w:r>
      <w:r w:rsidRPr="00C20422">
        <w:rPr>
          <w:rFonts w:ascii="Times New Roman" w:eastAsia="宋体" w:hAnsi="Times New Roman" w:cs="Times New Roman"/>
          <w:sz w:val="24"/>
          <w:szCs w:val="24"/>
        </w:rPr>
        <w:t>3</w:t>
      </w:r>
      <w:r w:rsidRPr="00C20422">
        <w:rPr>
          <w:rFonts w:ascii="Times New Roman" w:eastAsia="宋体" w:hAnsi="Times New Roman" w:cs="Times New Roman"/>
          <w:sz w:val="24"/>
          <w:szCs w:val="24"/>
        </w:rPr>
        <w:t>篇，参编国际指南</w:t>
      </w:r>
      <w:r w:rsidRPr="00C20422">
        <w:rPr>
          <w:rFonts w:ascii="Times New Roman" w:eastAsia="宋体" w:hAnsi="Times New Roman" w:cs="Times New Roman"/>
          <w:sz w:val="24"/>
          <w:szCs w:val="24"/>
        </w:rPr>
        <w:t>2</w:t>
      </w:r>
      <w:r w:rsidRPr="00C20422">
        <w:rPr>
          <w:rFonts w:ascii="Times New Roman" w:eastAsia="宋体" w:hAnsi="Times New Roman" w:cs="Times New Roman"/>
          <w:sz w:val="24"/>
          <w:szCs w:val="24"/>
        </w:rPr>
        <w:t>篇，主编专著</w:t>
      </w:r>
      <w:r w:rsidRPr="00C20422">
        <w:rPr>
          <w:rFonts w:ascii="Times New Roman" w:eastAsia="宋体" w:hAnsi="Times New Roman" w:cs="Times New Roman"/>
          <w:sz w:val="24"/>
          <w:szCs w:val="24"/>
        </w:rPr>
        <w:t>2</w:t>
      </w:r>
      <w:r w:rsidRPr="00C20422">
        <w:rPr>
          <w:rFonts w:ascii="Times New Roman" w:eastAsia="宋体" w:hAnsi="Times New Roman" w:cs="Times New Roman"/>
          <w:sz w:val="24"/>
          <w:szCs w:val="24"/>
        </w:rPr>
        <w:t>部；主办</w:t>
      </w:r>
      <w:r w:rsidRPr="00C20422">
        <w:rPr>
          <w:rFonts w:ascii="Times New Roman" w:eastAsia="宋体" w:hAnsi="Times New Roman" w:cs="Times New Roman"/>
          <w:sz w:val="24"/>
          <w:szCs w:val="24"/>
        </w:rPr>
        <w:t>4</w:t>
      </w:r>
      <w:r w:rsidRPr="00C20422">
        <w:rPr>
          <w:rFonts w:ascii="Times New Roman" w:eastAsia="宋体" w:hAnsi="Times New Roman" w:cs="Times New Roman"/>
          <w:sz w:val="24"/>
          <w:szCs w:val="24"/>
        </w:rPr>
        <w:t>届儿童</w:t>
      </w:r>
      <w:r w:rsidRPr="00C20422">
        <w:rPr>
          <w:rFonts w:ascii="Times New Roman" w:eastAsia="宋体" w:hAnsi="Times New Roman" w:cs="Times New Roman"/>
          <w:sz w:val="24"/>
          <w:szCs w:val="24"/>
        </w:rPr>
        <w:t>IBD</w:t>
      </w:r>
      <w:r w:rsidRPr="00C20422">
        <w:rPr>
          <w:rFonts w:ascii="Times New Roman" w:eastAsia="宋体" w:hAnsi="Times New Roman" w:cs="Times New Roman"/>
          <w:sz w:val="24"/>
          <w:szCs w:val="24"/>
        </w:rPr>
        <w:t>国际学术会议，连续</w:t>
      </w:r>
      <w:r w:rsidRPr="00C20422">
        <w:rPr>
          <w:rFonts w:ascii="Times New Roman" w:eastAsia="宋体" w:hAnsi="Times New Roman" w:cs="Times New Roman"/>
          <w:sz w:val="24"/>
          <w:szCs w:val="24"/>
        </w:rPr>
        <w:t>14</w:t>
      </w:r>
      <w:r w:rsidRPr="00C20422">
        <w:rPr>
          <w:rFonts w:ascii="Times New Roman" w:eastAsia="宋体" w:hAnsi="Times New Roman" w:cs="Times New Roman"/>
          <w:sz w:val="24"/>
          <w:szCs w:val="24"/>
        </w:rPr>
        <w:t>年举办儿童消化领域新进展学习班，定期开展儿童</w:t>
      </w:r>
      <w:r w:rsidRPr="00C20422">
        <w:rPr>
          <w:rFonts w:ascii="Times New Roman" w:eastAsia="宋体" w:hAnsi="Times New Roman" w:cs="Times New Roman"/>
          <w:sz w:val="24"/>
          <w:szCs w:val="24"/>
        </w:rPr>
        <w:t>IBD</w:t>
      </w:r>
      <w:r w:rsidRPr="00C20422">
        <w:rPr>
          <w:rFonts w:ascii="Times New Roman" w:eastAsia="宋体" w:hAnsi="Times New Roman" w:cs="Times New Roman"/>
          <w:sz w:val="24"/>
          <w:szCs w:val="24"/>
        </w:rPr>
        <w:t>培训课程（覆盖</w:t>
      </w:r>
      <w:r w:rsidRPr="00C20422">
        <w:rPr>
          <w:rFonts w:ascii="Times New Roman" w:eastAsia="宋体" w:hAnsi="Times New Roman" w:cs="Times New Roman"/>
          <w:sz w:val="24"/>
          <w:szCs w:val="24"/>
        </w:rPr>
        <w:t>29</w:t>
      </w:r>
      <w:r w:rsidRPr="00C20422">
        <w:rPr>
          <w:rFonts w:ascii="Times New Roman" w:eastAsia="宋体" w:hAnsi="Times New Roman" w:cs="Times New Roman"/>
          <w:sz w:val="24"/>
          <w:szCs w:val="24"/>
        </w:rPr>
        <w:t>个省市自治区</w:t>
      </w:r>
      <w:r w:rsidRPr="00C20422">
        <w:rPr>
          <w:rFonts w:ascii="Times New Roman" w:eastAsia="宋体" w:hAnsi="Times New Roman" w:cs="Times New Roman"/>
          <w:sz w:val="24"/>
          <w:szCs w:val="24"/>
        </w:rPr>
        <w:t>)</w:t>
      </w:r>
      <w:r w:rsidRPr="00C20422">
        <w:rPr>
          <w:rFonts w:ascii="Times New Roman" w:eastAsia="宋体" w:hAnsi="Times New Roman" w:cs="Times New Roman"/>
          <w:sz w:val="24"/>
          <w:szCs w:val="24"/>
        </w:rPr>
        <w:t>；培养研究生</w:t>
      </w:r>
      <w:r w:rsidRPr="00C20422">
        <w:rPr>
          <w:rFonts w:ascii="Times New Roman" w:eastAsia="宋体" w:hAnsi="Times New Roman" w:cs="Times New Roman"/>
          <w:sz w:val="24"/>
          <w:szCs w:val="24"/>
        </w:rPr>
        <w:t>32</w:t>
      </w:r>
      <w:r w:rsidRPr="00C20422">
        <w:rPr>
          <w:rFonts w:ascii="Times New Roman" w:eastAsia="宋体" w:hAnsi="Times New Roman" w:cs="Times New Roman"/>
          <w:sz w:val="24"/>
          <w:szCs w:val="24"/>
        </w:rPr>
        <w:t>名，</w:t>
      </w:r>
      <w:r w:rsidRPr="00C20422">
        <w:rPr>
          <w:rFonts w:ascii="Times New Roman" w:eastAsia="宋体" w:hAnsi="Times New Roman" w:cs="Times New Roman"/>
          <w:sz w:val="24"/>
          <w:szCs w:val="24"/>
        </w:rPr>
        <w:t>4</w:t>
      </w:r>
      <w:r w:rsidRPr="00C20422">
        <w:rPr>
          <w:rFonts w:ascii="Times New Roman" w:eastAsia="宋体" w:hAnsi="Times New Roman" w:cs="Times New Roman"/>
          <w:sz w:val="24"/>
          <w:szCs w:val="24"/>
        </w:rPr>
        <w:t>人获上海市人才计划资助，医疗成果推广至全国多家儿童医院及日本医疗单位，研究成果被国内外指南共识引用。</w:t>
      </w:r>
    </w:p>
    <w:p w14:paraId="4F30CCAC" w14:textId="77777777" w:rsidR="00C20422" w:rsidRPr="00C20422" w:rsidRDefault="00C20422" w:rsidP="00C20422">
      <w:pPr>
        <w:spacing w:line="360" w:lineRule="auto"/>
        <w:ind w:firstLineChars="200" w:firstLine="480"/>
        <w:rPr>
          <w:rFonts w:ascii="Times New Roman" w:eastAsia="宋体" w:hAnsi="Times New Roman" w:cs="Times New Roman"/>
          <w:sz w:val="24"/>
          <w:szCs w:val="24"/>
        </w:rPr>
      </w:pPr>
    </w:p>
    <w:p w14:paraId="4AC15842" w14:textId="38B6994C" w:rsidR="00FD7E7D" w:rsidRDefault="003026F1" w:rsidP="00FD7E7D">
      <w:pPr>
        <w:spacing w:line="360" w:lineRule="auto"/>
        <w:rPr>
          <w:rFonts w:ascii="宋体" w:eastAsia="宋体" w:hAnsi="宋体"/>
          <w:sz w:val="24"/>
          <w:szCs w:val="24"/>
        </w:rPr>
      </w:pPr>
      <w:r>
        <w:rPr>
          <w:rFonts w:ascii="宋体" w:eastAsia="宋体" w:hAnsi="宋体" w:hint="eastAsia"/>
          <w:sz w:val="24"/>
          <w:szCs w:val="24"/>
        </w:rPr>
        <w:t>六、</w:t>
      </w:r>
      <w:r w:rsidR="00FD7E7D" w:rsidRPr="00FD7E7D">
        <w:rPr>
          <w:rFonts w:ascii="宋体" w:eastAsia="宋体" w:hAnsi="宋体" w:hint="eastAsia"/>
          <w:sz w:val="24"/>
          <w:szCs w:val="24"/>
        </w:rPr>
        <w:t>代表性论文目录</w:t>
      </w:r>
      <w:r w:rsidR="00175991">
        <w:rPr>
          <w:rFonts w:ascii="宋体" w:eastAsia="宋体" w:hAnsi="宋体" w:hint="eastAsia"/>
          <w:sz w:val="24"/>
          <w:szCs w:val="24"/>
        </w:rPr>
        <w:t>（限1</w:t>
      </w:r>
      <w:r w:rsidR="00175991">
        <w:rPr>
          <w:rFonts w:ascii="宋体" w:eastAsia="宋体" w:hAnsi="宋体"/>
          <w:sz w:val="24"/>
          <w:szCs w:val="24"/>
        </w:rPr>
        <w:t>0</w:t>
      </w:r>
      <w:r w:rsidR="00175991">
        <w:rPr>
          <w:rFonts w:ascii="宋体" w:eastAsia="宋体" w:hAnsi="宋体" w:hint="eastAsia"/>
          <w:sz w:val="24"/>
          <w:szCs w:val="24"/>
        </w:rPr>
        <w:t>篇）</w:t>
      </w:r>
      <w:r>
        <w:rPr>
          <w:rFonts w:ascii="宋体" w:eastAsia="宋体" w:hAnsi="宋体" w:hint="eastAsia"/>
          <w:sz w:val="24"/>
          <w:szCs w:val="24"/>
        </w:rPr>
        <w:t>：</w:t>
      </w:r>
    </w:p>
    <w:p w14:paraId="653A0291" w14:textId="77777777" w:rsidR="00C20422" w:rsidRPr="00C20422" w:rsidRDefault="00C20422" w:rsidP="00C20422">
      <w:pPr>
        <w:spacing w:line="360" w:lineRule="auto"/>
        <w:rPr>
          <w:rFonts w:ascii="Times New Roman" w:eastAsia="宋体" w:hAnsi="Times New Roman" w:cs="Times New Roman"/>
          <w:sz w:val="24"/>
          <w:szCs w:val="24"/>
        </w:rPr>
      </w:pPr>
      <w:r w:rsidRPr="00C20422">
        <w:rPr>
          <w:rFonts w:ascii="Times New Roman" w:eastAsia="宋体" w:hAnsi="Times New Roman" w:cs="Times New Roman"/>
          <w:sz w:val="24"/>
          <w:szCs w:val="24"/>
        </w:rPr>
        <w:t>1.</w:t>
      </w:r>
      <w:r w:rsidRPr="00C20422">
        <w:rPr>
          <w:rFonts w:ascii="Times New Roman" w:eastAsia="宋体" w:hAnsi="Times New Roman" w:cs="Times New Roman"/>
          <w:sz w:val="24"/>
          <w:szCs w:val="24"/>
        </w:rPr>
        <w:tab/>
        <w:t xml:space="preserve">Wang L, </w:t>
      </w:r>
      <w:proofErr w:type="spellStart"/>
      <w:r w:rsidRPr="00C20422">
        <w:rPr>
          <w:rFonts w:ascii="Times New Roman" w:eastAsia="宋体" w:hAnsi="Times New Roman" w:cs="Times New Roman"/>
          <w:sz w:val="24"/>
          <w:szCs w:val="24"/>
        </w:rPr>
        <w:t>Aschenbrenner</w:t>
      </w:r>
      <w:proofErr w:type="spellEnd"/>
      <w:r w:rsidRPr="00C20422">
        <w:rPr>
          <w:rFonts w:ascii="Times New Roman" w:eastAsia="宋体" w:hAnsi="Times New Roman" w:cs="Times New Roman"/>
          <w:sz w:val="24"/>
          <w:szCs w:val="24"/>
        </w:rPr>
        <w:t xml:space="preserve"> D, Zeng Z, Cao X, Mayr D, Mehta M, </w:t>
      </w:r>
      <w:proofErr w:type="spellStart"/>
      <w:r w:rsidRPr="00C20422">
        <w:rPr>
          <w:rFonts w:ascii="Times New Roman" w:eastAsia="宋体" w:hAnsi="Times New Roman" w:cs="Times New Roman"/>
          <w:sz w:val="24"/>
          <w:szCs w:val="24"/>
        </w:rPr>
        <w:t>Capitani</w:t>
      </w:r>
      <w:proofErr w:type="spellEnd"/>
      <w:r w:rsidRPr="00C20422">
        <w:rPr>
          <w:rFonts w:ascii="Times New Roman" w:eastAsia="宋体" w:hAnsi="Times New Roman" w:cs="Times New Roman"/>
          <w:sz w:val="24"/>
          <w:szCs w:val="24"/>
        </w:rPr>
        <w:t xml:space="preserve"> M, et al. Gain-of-function variants in SYK cause immune dysregulation and systemic inflammation in humans and mice. Nat Genet 2021;53:500-510.</w:t>
      </w:r>
    </w:p>
    <w:p w14:paraId="7D8162D1" w14:textId="77777777" w:rsidR="00C20422" w:rsidRPr="00C20422" w:rsidRDefault="00C20422" w:rsidP="00C20422">
      <w:pPr>
        <w:spacing w:line="360" w:lineRule="auto"/>
        <w:rPr>
          <w:rFonts w:ascii="Times New Roman" w:eastAsia="宋体" w:hAnsi="Times New Roman" w:cs="Times New Roman"/>
          <w:sz w:val="24"/>
          <w:szCs w:val="24"/>
        </w:rPr>
      </w:pPr>
      <w:r w:rsidRPr="00C20422">
        <w:rPr>
          <w:rFonts w:ascii="Times New Roman" w:eastAsia="宋体" w:hAnsi="Times New Roman" w:cs="Times New Roman"/>
          <w:sz w:val="24"/>
          <w:szCs w:val="24"/>
        </w:rPr>
        <w:t>2.</w:t>
      </w:r>
      <w:r w:rsidRPr="00C20422">
        <w:rPr>
          <w:rFonts w:ascii="Times New Roman" w:eastAsia="宋体" w:hAnsi="Times New Roman" w:cs="Times New Roman"/>
          <w:sz w:val="24"/>
          <w:szCs w:val="24"/>
        </w:rPr>
        <w:tab/>
        <w:t xml:space="preserve">Huang Z, Peng K, Li X, Zhao R, You J, Cheng X, Wang Z, et al. Mutations in Interleukin-10 Receptor and Clinical Phenotypes in Patients with Very Early Onset Inflammatory Bowel Disease: A Chinese VEO-IBD Collaboration Group Survey. </w:t>
      </w:r>
      <w:proofErr w:type="spellStart"/>
      <w:r w:rsidRPr="00C20422">
        <w:rPr>
          <w:rFonts w:ascii="Times New Roman" w:eastAsia="宋体" w:hAnsi="Times New Roman" w:cs="Times New Roman"/>
          <w:sz w:val="24"/>
          <w:szCs w:val="24"/>
        </w:rPr>
        <w:t>Inflamm</w:t>
      </w:r>
      <w:proofErr w:type="spellEnd"/>
      <w:r w:rsidRPr="00C20422">
        <w:rPr>
          <w:rFonts w:ascii="Times New Roman" w:eastAsia="宋体" w:hAnsi="Times New Roman" w:cs="Times New Roman"/>
          <w:sz w:val="24"/>
          <w:szCs w:val="24"/>
        </w:rPr>
        <w:t xml:space="preserve"> Bowel Dis 2017;23:578-590. </w:t>
      </w:r>
    </w:p>
    <w:p w14:paraId="67B8EC93" w14:textId="77777777" w:rsidR="00C20422" w:rsidRPr="00C20422" w:rsidRDefault="00C20422" w:rsidP="00C20422">
      <w:pPr>
        <w:spacing w:line="360" w:lineRule="auto"/>
        <w:rPr>
          <w:rFonts w:ascii="Times New Roman" w:eastAsia="宋体" w:hAnsi="Times New Roman" w:cs="Times New Roman"/>
          <w:sz w:val="24"/>
          <w:szCs w:val="24"/>
        </w:rPr>
      </w:pPr>
      <w:r w:rsidRPr="00C20422">
        <w:rPr>
          <w:rFonts w:ascii="Times New Roman" w:eastAsia="宋体" w:hAnsi="Times New Roman" w:cs="Times New Roman"/>
          <w:sz w:val="24"/>
          <w:szCs w:val="24"/>
        </w:rPr>
        <w:t>3.</w:t>
      </w:r>
      <w:r w:rsidRPr="00C20422">
        <w:rPr>
          <w:rFonts w:ascii="Times New Roman" w:eastAsia="宋体" w:hAnsi="Times New Roman" w:cs="Times New Roman"/>
          <w:sz w:val="24"/>
          <w:szCs w:val="24"/>
        </w:rPr>
        <w:tab/>
        <w:t xml:space="preserve">Tang Z, Zhang P, Ji M, Yin C, Zhao R, Huang Z, Huang Y. Characterization of novel and large fragment deletions in exon 1 of the IL10RA gene in Chinese children with very early onset inflammatory bowel diseases. BMC Gastroenterol 2021;21:167. </w:t>
      </w:r>
    </w:p>
    <w:p w14:paraId="3C58BEF6" w14:textId="77777777" w:rsidR="00C20422" w:rsidRPr="00C20422" w:rsidRDefault="00C20422" w:rsidP="00C20422">
      <w:pPr>
        <w:spacing w:line="360" w:lineRule="auto"/>
        <w:rPr>
          <w:rFonts w:ascii="Times New Roman" w:eastAsia="宋体" w:hAnsi="Times New Roman" w:cs="Times New Roman"/>
          <w:sz w:val="24"/>
          <w:szCs w:val="24"/>
        </w:rPr>
      </w:pPr>
      <w:r w:rsidRPr="00C20422">
        <w:rPr>
          <w:rFonts w:ascii="Times New Roman" w:eastAsia="宋体" w:hAnsi="Times New Roman" w:cs="Times New Roman"/>
          <w:sz w:val="24"/>
          <w:szCs w:val="24"/>
        </w:rPr>
        <w:t>4.</w:t>
      </w:r>
      <w:r w:rsidRPr="00C20422">
        <w:rPr>
          <w:rFonts w:ascii="Times New Roman" w:eastAsia="宋体" w:hAnsi="Times New Roman" w:cs="Times New Roman"/>
          <w:sz w:val="24"/>
          <w:szCs w:val="24"/>
        </w:rPr>
        <w:tab/>
        <w:t xml:space="preserve">Zheng C, Huang Y, Ye Z, Wang Y, Tang Z, Lu J, Wu J, et al. Infantile Onset Intractable Inflammatory Bowel Disease Due to Novel Heterozygous Mutations in TNFAIP3 (A20). </w:t>
      </w:r>
      <w:proofErr w:type="spellStart"/>
      <w:r w:rsidRPr="00C20422">
        <w:rPr>
          <w:rFonts w:ascii="Times New Roman" w:eastAsia="宋体" w:hAnsi="Times New Roman" w:cs="Times New Roman"/>
          <w:sz w:val="24"/>
          <w:szCs w:val="24"/>
        </w:rPr>
        <w:t>Inflamm</w:t>
      </w:r>
      <w:proofErr w:type="spellEnd"/>
      <w:r w:rsidRPr="00C20422">
        <w:rPr>
          <w:rFonts w:ascii="Times New Roman" w:eastAsia="宋体" w:hAnsi="Times New Roman" w:cs="Times New Roman"/>
          <w:sz w:val="24"/>
          <w:szCs w:val="24"/>
        </w:rPr>
        <w:t xml:space="preserve"> Bowel Dis 2018;24:2613-2620. </w:t>
      </w:r>
    </w:p>
    <w:p w14:paraId="33A2AB00" w14:textId="77777777" w:rsidR="00C20422" w:rsidRPr="00C20422" w:rsidRDefault="00C20422" w:rsidP="00C20422">
      <w:pPr>
        <w:spacing w:line="360" w:lineRule="auto"/>
        <w:rPr>
          <w:rFonts w:ascii="Times New Roman" w:eastAsia="宋体" w:hAnsi="Times New Roman" w:cs="Times New Roman"/>
          <w:sz w:val="24"/>
          <w:szCs w:val="24"/>
        </w:rPr>
      </w:pPr>
      <w:r w:rsidRPr="00C20422">
        <w:rPr>
          <w:rFonts w:ascii="Times New Roman" w:eastAsia="宋体" w:hAnsi="Times New Roman" w:cs="Times New Roman"/>
          <w:sz w:val="24"/>
          <w:szCs w:val="24"/>
        </w:rPr>
        <w:t>5.</w:t>
      </w:r>
      <w:r w:rsidRPr="00C20422">
        <w:rPr>
          <w:rFonts w:ascii="Times New Roman" w:eastAsia="宋体" w:hAnsi="Times New Roman" w:cs="Times New Roman"/>
          <w:sz w:val="24"/>
          <w:szCs w:val="24"/>
        </w:rPr>
        <w:tab/>
        <w:t xml:space="preserve">Ye Z, Huang Y, Zheng C, Wang Y, Lu J, Wang H, Wu B, et al. Clinical and genetic spectrum of children with congenital diarrhea and enteropathy in China. Genet Med 2019;21:2224-2230. </w:t>
      </w:r>
    </w:p>
    <w:p w14:paraId="0286EB5B" w14:textId="77777777" w:rsidR="00C20422" w:rsidRPr="00C20422" w:rsidRDefault="00C20422" w:rsidP="00C20422">
      <w:pPr>
        <w:spacing w:line="360" w:lineRule="auto"/>
        <w:rPr>
          <w:rFonts w:ascii="Times New Roman" w:eastAsia="宋体" w:hAnsi="Times New Roman" w:cs="Times New Roman"/>
          <w:sz w:val="24"/>
          <w:szCs w:val="24"/>
        </w:rPr>
      </w:pPr>
      <w:r w:rsidRPr="00C20422">
        <w:rPr>
          <w:rFonts w:ascii="Times New Roman" w:eastAsia="宋体" w:hAnsi="Times New Roman" w:cs="Times New Roman"/>
          <w:sz w:val="24"/>
          <w:szCs w:val="24"/>
        </w:rPr>
        <w:t>6.</w:t>
      </w:r>
      <w:r w:rsidRPr="00C20422">
        <w:rPr>
          <w:rFonts w:ascii="Times New Roman" w:eastAsia="宋体" w:hAnsi="Times New Roman" w:cs="Times New Roman"/>
          <w:sz w:val="24"/>
          <w:szCs w:val="24"/>
        </w:rPr>
        <w:tab/>
        <w:t xml:space="preserve">Zheng C, Huang Y, Hu W, Shi J, Ye Z, Qian X, Huang Z, et al. Phenotypic Characterization of Very Early-Onset Inflammatory Bowel Disease with Interleukin-10 Signaling Deficiency: Based on a Large Cohort Study. </w:t>
      </w:r>
      <w:proofErr w:type="spellStart"/>
      <w:r w:rsidRPr="00C20422">
        <w:rPr>
          <w:rFonts w:ascii="Times New Roman" w:eastAsia="宋体" w:hAnsi="Times New Roman" w:cs="Times New Roman"/>
          <w:sz w:val="24"/>
          <w:szCs w:val="24"/>
        </w:rPr>
        <w:t>Inflamm</w:t>
      </w:r>
      <w:proofErr w:type="spellEnd"/>
      <w:r w:rsidRPr="00C20422">
        <w:rPr>
          <w:rFonts w:ascii="Times New Roman" w:eastAsia="宋体" w:hAnsi="Times New Roman" w:cs="Times New Roman"/>
          <w:sz w:val="24"/>
          <w:szCs w:val="24"/>
        </w:rPr>
        <w:t xml:space="preserve"> Bowel Dis 2019;25:756-766. </w:t>
      </w:r>
    </w:p>
    <w:p w14:paraId="0CFFB90F" w14:textId="77777777" w:rsidR="00C20422" w:rsidRPr="00C20422" w:rsidRDefault="00C20422" w:rsidP="00C20422">
      <w:pPr>
        <w:spacing w:line="360" w:lineRule="auto"/>
        <w:rPr>
          <w:rFonts w:ascii="Times New Roman" w:eastAsia="宋体" w:hAnsi="Times New Roman" w:cs="Times New Roman"/>
          <w:sz w:val="24"/>
          <w:szCs w:val="24"/>
        </w:rPr>
      </w:pPr>
      <w:r w:rsidRPr="00C20422">
        <w:rPr>
          <w:rFonts w:ascii="Times New Roman" w:eastAsia="宋体" w:hAnsi="Times New Roman" w:cs="Times New Roman"/>
          <w:sz w:val="24"/>
          <w:szCs w:val="24"/>
        </w:rPr>
        <w:t>7.</w:t>
      </w:r>
      <w:r w:rsidRPr="00C20422">
        <w:rPr>
          <w:rFonts w:ascii="Times New Roman" w:eastAsia="宋体" w:hAnsi="Times New Roman" w:cs="Times New Roman"/>
          <w:sz w:val="24"/>
          <w:szCs w:val="24"/>
        </w:rPr>
        <w:tab/>
        <w:t xml:space="preserve">Peng K, Qian X, Huang Z, Lu J, Wang Y, Zhou Y, Wang H, et al. Umbilical Cord Blood Transplantation Corrects Very Early-Onset Inflammatory Bowel Disease in </w:t>
      </w:r>
      <w:r w:rsidRPr="00C20422">
        <w:rPr>
          <w:rFonts w:ascii="Times New Roman" w:eastAsia="宋体" w:hAnsi="Times New Roman" w:cs="Times New Roman"/>
          <w:sz w:val="24"/>
          <w:szCs w:val="24"/>
        </w:rPr>
        <w:lastRenderedPageBreak/>
        <w:t xml:space="preserve">Chinese Patients With IL10RA-Associated Immune Deficiency. </w:t>
      </w:r>
      <w:proofErr w:type="spellStart"/>
      <w:r w:rsidRPr="00C20422">
        <w:rPr>
          <w:rFonts w:ascii="Times New Roman" w:eastAsia="宋体" w:hAnsi="Times New Roman" w:cs="Times New Roman"/>
          <w:sz w:val="24"/>
          <w:szCs w:val="24"/>
        </w:rPr>
        <w:t>Inflamm</w:t>
      </w:r>
      <w:proofErr w:type="spellEnd"/>
      <w:r w:rsidRPr="00C20422">
        <w:rPr>
          <w:rFonts w:ascii="Times New Roman" w:eastAsia="宋体" w:hAnsi="Times New Roman" w:cs="Times New Roman"/>
          <w:sz w:val="24"/>
          <w:szCs w:val="24"/>
        </w:rPr>
        <w:t xml:space="preserve"> Bowel Dis 2018;24:1416-1427. </w:t>
      </w:r>
    </w:p>
    <w:p w14:paraId="496B345D" w14:textId="77777777" w:rsidR="00C20422" w:rsidRPr="00C20422" w:rsidRDefault="00C20422" w:rsidP="00C20422">
      <w:pPr>
        <w:spacing w:line="360" w:lineRule="auto"/>
        <w:rPr>
          <w:rFonts w:ascii="Times New Roman" w:eastAsia="宋体" w:hAnsi="Times New Roman" w:cs="Times New Roman"/>
          <w:sz w:val="24"/>
          <w:szCs w:val="24"/>
        </w:rPr>
      </w:pPr>
      <w:r w:rsidRPr="00C20422">
        <w:rPr>
          <w:rFonts w:ascii="Times New Roman" w:eastAsia="宋体" w:hAnsi="Times New Roman" w:cs="Times New Roman"/>
          <w:sz w:val="24"/>
          <w:szCs w:val="24"/>
        </w:rPr>
        <w:t>8.</w:t>
      </w:r>
      <w:r w:rsidRPr="00C20422">
        <w:rPr>
          <w:rFonts w:ascii="Times New Roman" w:eastAsia="宋体" w:hAnsi="Times New Roman" w:cs="Times New Roman"/>
          <w:sz w:val="24"/>
          <w:szCs w:val="24"/>
        </w:rPr>
        <w:tab/>
        <w:t xml:space="preserve">Ye Z, Zhou Y, Huang Y, Wang Y, Lu J, Tang Z, Miao S, et al. Phenotype and Management of Infantile-onset Inflammatory Bowel Disease: Experience from a Tertiary Care Center in China. </w:t>
      </w:r>
      <w:proofErr w:type="spellStart"/>
      <w:r w:rsidRPr="00C20422">
        <w:rPr>
          <w:rFonts w:ascii="Times New Roman" w:eastAsia="宋体" w:hAnsi="Times New Roman" w:cs="Times New Roman"/>
          <w:sz w:val="24"/>
          <w:szCs w:val="24"/>
        </w:rPr>
        <w:t>Inflamm</w:t>
      </w:r>
      <w:proofErr w:type="spellEnd"/>
      <w:r w:rsidRPr="00C20422">
        <w:rPr>
          <w:rFonts w:ascii="Times New Roman" w:eastAsia="宋体" w:hAnsi="Times New Roman" w:cs="Times New Roman"/>
          <w:sz w:val="24"/>
          <w:szCs w:val="24"/>
        </w:rPr>
        <w:t xml:space="preserve"> Bowel Dis 2017;23:2154-2164.</w:t>
      </w:r>
    </w:p>
    <w:p w14:paraId="30C4C24C" w14:textId="77777777" w:rsidR="00C20422" w:rsidRPr="00C20422" w:rsidRDefault="00C20422" w:rsidP="00C20422">
      <w:pPr>
        <w:spacing w:line="360" w:lineRule="auto"/>
        <w:rPr>
          <w:rFonts w:ascii="Times New Roman" w:eastAsia="宋体" w:hAnsi="Times New Roman" w:cs="Times New Roman"/>
          <w:sz w:val="24"/>
          <w:szCs w:val="24"/>
        </w:rPr>
      </w:pPr>
      <w:r w:rsidRPr="00C20422">
        <w:rPr>
          <w:rFonts w:ascii="Times New Roman" w:eastAsia="宋体" w:hAnsi="Times New Roman" w:cs="Times New Roman"/>
          <w:sz w:val="24"/>
          <w:szCs w:val="24"/>
        </w:rPr>
        <w:t>9.</w:t>
      </w:r>
      <w:r w:rsidRPr="00C20422">
        <w:rPr>
          <w:rFonts w:ascii="Times New Roman" w:eastAsia="宋体" w:hAnsi="Times New Roman" w:cs="Times New Roman"/>
          <w:sz w:val="24"/>
          <w:szCs w:val="24"/>
        </w:rPr>
        <w:tab/>
        <w:t xml:space="preserve">Sun S, Ye Z, Zheng S, Chen G, Qian X, Dong K, Huang Y. Surgical treatment of monogenic inflammatory bowel disease: A single clinical center experience. J </w:t>
      </w:r>
      <w:proofErr w:type="spellStart"/>
      <w:r w:rsidRPr="00C20422">
        <w:rPr>
          <w:rFonts w:ascii="Times New Roman" w:eastAsia="宋体" w:hAnsi="Times New Roman" w:cs="Times New Roman"/>
          <w:sz w:val="24"/>
          <w:szCs w:val="24"/>
        </w:rPr>
        <w:t>Pediatr</w:t>
      </w:r>
      <w:proofErr w:type="spellEnd"/>
      <w:r w:rsidRPr="00C20422">
        <w:rPr>
          <w:rFonts w:ascii="Times New Roman" w:eastAsia="宋体" w:hAnsi="Times New Roman" w:cs="Times New Roman"/>
          <w:sz w:val="24"/>
          <w:szCs w:val="24"/>
        </w:rPr>
        <w:t xml:space="preserve"> Surg 2019;54:2155-2161.</w:t>
      </w:r>
    </w:p>
    <w:p w14:paraId="6B84D61C" w14:textId="54F04822" w:rsidR="00FD7E7D" w:rsidRDefault="00C20422" w:rsidP="00C20422">
      <w:pPr>
        <w:spacing w:line="360" w:lineRule="auto"/>
        <w:rPr>
          <w:rFonts w:ascii="Times New Roman" w:eastAsia="宋体" w:hAnsi="Times New Roman" w:cs="Times New Roman"/>
          <w:sz w:val="24"/>
          <w:szCs w:val="24"/>
        </w:rPr>
      </w:pPr>
      <w:r w:rsidRPr="00C20422">
        <w:rPr>
          <w:rFonts w:ascii="Times New Roman" w:eastAsia="宋体" w:hAnsi="Times New Roman" w:cs="Times New Roman"/>
          <w:sz w:val="24"/>
          <w:szCs w:val="24"/>
        </w:rPr>
        <w:t>10.</w:t>
      </w:r>
      <w:r w:rsidRPr="00C20422">
        <w:rPr>
          <w:rFonts w:ascii="Times New Roman" w:eastAsia="宋体" w:hAnsi="Times New Roman" w:cs="Times New Roman"/>
          <w:sz w:val="24"/>
          <w:szCs w:val="24"/>
        </w:rPr>
        <w:tab/>
        <w:t xml:space="preserve">Ye Z, Hu W, Wu B, Zhang Y, Lei C, Williams I, </w:t>
      </w:r>
      <w:proofErr w:type="spellStart"/>
      <w:r w:rsidRPr="00C20422">
        <w:rPr>
          <w:rFonts w:ascii="Times New Roman" w:eastAsia="宋体" w:hAnsi="Times New Roman" w:cs="Times New Roman"/>
          <w:sz w:val="24"/>
          <w:szCs w:val="24"/>
        </w:rPr>
        <w:t>Shouval</w:t>
      </w:r>
      <w:proofErr w:type="spellEnd"/>
      <w:r w:rsidRPr="00C20422">
        <w:rPr>
          <w:rFonts w:ascii="Times New Roman" w:eastAsia="宋体" w:hAnsi="Times New Roman" w:cs="Times New Roman"/>
          <w:sz w:val="24"/>
          <w:szCs w:val="24"/>
        </w:rPr>
        <w:t xml:space="preserve"> DS, et al. Predictive Prenatal Diagnosis for Infantile-onset Inflammatory Bowel Disease Because of Interleukin-10 </w:t>
      </w:r>
      <w:proofErr w:type="spellStart"/>
      <w:r w:rsidRPr="00C20422">
        <w:rPr>
          <w:rFonts w:ascii="Times New Roman" w:eastAsia="宋体" w:hAnsi="Times New Roman" w:cs="Times New Roman"/>
          <w:sz w:val="24"/>
          <w:szCs w:val="24"/>
        </w:rPr>
        <w:t>Signalling</w:t>
      </w:r>
      <w:proofErr w:type="spellEnd"/>
      <w:r w:rsidRPr="00C20422">
        <w:rPr>
          <w:rFonts w:ascii="Times New Roman" w:eastAsia="宋体" w:hAnsi="Times New Roman" w:cs="Times New Roman"/>
          <w:sz w:val="24"/>
          <w:szCs w:val="24"/>
        </w:rPr>
        <w:t xml:space="preserve"> Defects. J </w:t>
      </w:r>
      <w:proofErr w:type="spellStart"/>
      <w:r w:rsidRPr="00C20422">
        <w:rPr>
          <w:rFonts w:ascii="Times New Roman" w:eastAsia="宋体" w:hAnsi="Times New Roman" w:cs="Times New Roman"/>
          <w:sz w:val="24"/>
          <w:szCs w:val="24"/>
        </w:rPr>
        <w:t>Pediatr</w:t>
      </w:r>
      <w:proofErr w:type="spellEnd"/>
      <w:r w:rsidRPr="00C20422">
        <w:rPr>
          <w:rFonts w:ascii="Times New Roman" w:eastAsia="宋体" w:hAnsi="Times New Roman" w:cs="Times New Roman"/>
          <w:sz w:val="24"/>
          <w:szCs w:val="24"/>
        </w:rPr>
        <w:t xml:space="preserve"> Gastroenterol </w:t>
      </w:r>
      <w:proofErr w:type="spellStart"/>
      <w:r w:rsidRPr="00C20422">
        <w:rPr>
          <w:rFonts w:ascii="Times New Roman" w:eastAsia="宋体" w:hAnsi="Times New Roman" w:cs="Times New Roman"/>
          <w:sz w:val="24"/>
          <w:szCs w:val="24"/>
        </w:rPr>
        <w:t>Nutr</w:t>
      </w:r>
      <w:proofErr w:type="spellEnd"/>
      <w:r w:rsidRPr="00C20422">
        <w:rPr>
          <w:rFonts w:ascii="Times New Roman" w:eastAsia="宋体" w:hAnsi="Times New Roman" w:cs="Times New Roman"/>
          <w:sz w:val="24"/>
          <w:szCs w:val="24"/>
        </w:rPr>
        <w:t xml:space="preserve"> 2021;72:276-281.</w:t>
      </w:r>
    </w:p>
    <w:p w14:paraId="210C25F5" w14:textId="77777777" w:rsidR="00C20422" w:rsidRPr="00C20422" w:rsidRDefault="00C20422" w:rsidP="00C20422">
      <w:pPr>
        <w:spacing w:line="360" w:lineRule="auto"/>
        <w:rPr>
          <w:rFonts w:ascii="Times New Roman" w:eastAsia="宋体" w:hAnsi="Times New Roman" w:cs="Times New Roman"/>
          <w:sz w:val="24"/>
          <w:szCs w:val="24"/>
        </w:rPr>
      </w:pPr>
    </w:p>
    <w:p w14:paraId="580F7705" w14:textId="4D78487F" w:rsidR="00FD7E7D" w:rsidRDefault="003026F1" w:rsidP="00FD7E7D">
      <w:pPr>
        <w:spacing w:line="360" w:lineRule="auto"/>
        <w:rPr>
          <w:rFonts w:ascii="宋体" w:eastAsia="宋体" w:hAnsi="宋体"/>
          <w:sz w:val="24"/>
          <w:szCs w:val="24"/>
        </w:rPr>
      </w:pPr>
      <w:r>
        <w:rPr>
          <w:rFonts w:ascii="宋体" w:eastAsia="宋体" w:hAnsi="宋体" w:hint="eastAsia"/>
          <w:sz w:val="24"/>
          <w:szCs w:val="24"/>
        </w:rPr>
        <w:t>七、</w:t>
      </w:r>
      <w:r w:rsidR="00FD7E7D" w:rsidRPr="00FD7E7D">
        <w:rPr>
          <w:rFonts w:ascii="宋体" w:eastAsia="宋体" w:hAnsi="宋体" w:hint="eastAsia"/>
          <w:sz w:val="24"/>
          <w:szCs w:val="24"/>
        </w:rPr>
        <w:t>主要知识产权和标准规范等目录</w:t>
      </w:r>
      <w:r w:rsidR="00065B02">
        <w:rPr>
          <w:rFonts w:ascii="宋体" w:eastAsia="宋体" w:hAnsi="宋体" w:hint="eastAsia"/>
          <w:sz w:val="24"/>
          <w:szCs w:val="24"/>
        </w:rPr>
        <w:t>（限1</w:t>
      </w:r>
      <w:r w:rsidR="00065B02">
        <w:rPr>
          <w:rFonts w:ascii="宋体" w:eastAsia="宋体" w:hAnsi="宋体"/>
          <w:sz w:val="24"/>
          <w:szCs w:val="24"/>
        </w:rPr>
        <w:t>0</w:t>
      </w:r>
      <w:r w:rsidR="00065B02">
        <w:rPr>
          <w:rFonts w:ascii="宋体" w:eastAsia="宋体" w:hAnsi="宋体" w:hint="eastAsia"/>
          <w:sz w:val="24"/>
          <w:szCs w:val="24"/>
        </w:rPr>
        <w:t>项）</w:t>
      </w:r>
      <w:r>
        <w:rPr>
          <w:rFonts w:ascii="宋体" w:eastAsia="宋体" w:hAnsi="宋体" w:hint="eastAsia"/>
          <w:sz w:val="24"/>
          <w:szCs w:val="24"/>
        </w:rPr>
        <w:t>：</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5"/>
        <w:gridCol w:w="1275"/>
        <w:gridCol w:w="1276"/>
        <w:gridCol w:w="851"/>
        <w:gridCol w:w="1105"/>
        <w:gridCol w:w="1134"/>
        <w:gridCol w:w="1163"/>
        <w:gridCol w:w="1134"/>
        <w:gridCol w:w="1247"/>
      </w:tblGrid>
      <w:tr w:rsidR="00C20422" w:rsidRPr="003316F7" w14:paraId="1E5236A1" w14:textId="77777777" w:rsidTr="0052133A">
        <w:trPr>
          <w:trHeight w:val="468"/>
        </w:trPr>
        <w:tc>
          <w:tcPr>
            <w:tcW w:w="455" w:type="dxa"/>
            <w:vAlign w:val="center"/>
          </w:tcPr>
          <w:p w14:paraId="374194C5" w14:textId="77777777" w:rsidR="00C20422" w:rsidRPr="003316F7" w:rsidRDefault="00C20422" w:rsidP="00045D73">
            <w:pPr>
              <w:jc w:val="center"/>
              <w:rPr>
                <w:rFonts w:eastAsia="仿宋"/>
                <w:sz w:val="24"/>
              </w:rPr>
            </w:pPr>
            <w:r w:rsidRPr="003316F7">
              <w:rPr>
                <w:rFonts w:eastAsia="仿宋"/>
                <w:sz w:val="24"/>
              </w:rPr>
              <w:t>序号</w:t>
            </w:r>
          </w:p>
        </w:tc>
        <w:tc>
          <w:tcPr>
            <w:tcW w:w="1275" w:type="dxa"/>
            <w:vAlign w:val="center"/>
          </w:tcPr>
          <w:p w14:paraId="69F520A1" w14:textId="77777777" w:rsidR="00C20422" w:rsidRPr="003316F7" w:rsidRDefault="00C20422" w:rsidP="00045D73">
            <w:pPr>
              <w:jc w:val="center"/>
              <w:rPr>
                <w:rFonts w:eastAsia="仿宋"/>
                <w:sz w:val="24"/>
              </w:rPr>
            </w:pPr>
            <w:r w:rsidRPr="003316F7">
              <w:rPr>
                <w:rFonts w:eastAsia="仿宋"/>
                <w:sz w:val="24"/>
              </w:rPr>
              <w:t>知识产权</w:t>
            </w:r>
            <w:r>
              <w:rPr>
                <w:rFonts w:eastAsia="仿宋" w:hint="eastAsia"/>
                <w:sz w:val="24"/>
              </w:rPr>
              <w:t>(</w:t>
            </w:r>
            <w:r w:rsidRPr="003316F7">
              <w:rPr>
                <w:rFonts w:eastAsia="仿宋"/>
                <w:sz w:val="24"/>
              </w:rPr>
              <w:t>标准</w:t>
            </w:r>
            <w:r>
              <w:rPr>
                <w:rFonts w:eastAsia="仿宋" w:hint="eastAsia"/>
                <w:sz w:val="24"/>
              </w:rPr>
              <w:t>)</w:t>
            </w:r>
            <w:r w:rsidRPr="003316F7">
              <w:rPr>
                <w:rFonts w:eastAsia="仿宋"/>
                <w:sz w:val="24"/>
              </w:rPr>
              <w:t>类别</w:t>
            </w:r>
          </w:p>
        </w:tc>
        <w:tc>
          <w:tcPr>
            <w:tcW w:w="1276" w:type="dxa"/>
            <w:vAlign w:val="center"/>
          </w:tcPr>
          <w:p w14:paraId="7BF1C33C" w14:textId="77777777" w:rsidR="00C20422" w:rsidRPr="003316F7" w:rsidRDefault="00C20422" w:rsidP="00045D73">
            <w:pPr>
              <w:jc w:val="center"/>
              <w:rPr>
                <w:rFonts w:eastAsia="仿宋"/>
                <w:sz w:val="24"/>
              </w:rPr>
            </w:pPr>
            <w:r w:rsidRPr="003316F7">
              <w:rPr>
                <w:rFonts w:eastAsia="仿宋"/>
                <w:sz w:val="24"/>
              </w:rPr>
              <w:t>知识产权</w:t>
            </w:r>
            <w:r>
              <w:rPr>
                <w:rFonts w:eastAsia="仿宋" w:hint="eastAsia"/>
                <w:sz w:val="24"/>
              </w:rPr>
              <w:t>(</w:t>
            </w:r>
            <w:r w:rsidRPr="003316F7">
              <w:rPr>
                <w:rFonts w:eastAsia="仿宋"/>
                <w:sz w:val="24"/>
              </w:rPr>
              <w:t>标准</w:t>
            </w:r>
            <w:r>
              <w:rPr>
                <w:rFonts w:eastAsia="仿宋" w:hint="eastAsia"/>
                <w:sz w:val="24"/>
              </w:rPr>
              <w:t>)</w:t>
            </w:r>
          </w:p>
          <w:p w14:paraId="04DBD394" w14:textId="77777777" w:rsidR="00C20422" w:rsidRPr="003316F7" w:rsidRDefault="00C20422" w:rsidP="00045D73">
            <w:pPr>
              <w:jc w:val="center"/>
              <w:rPr>
                <w:rFonts w:eastAsia="仿宋"/>
                <w:sz w:val="24"/>
              </w:rPr>
            </w:pPr>
            <w:r w:rsidRPr="003316F7">
              <w:rPr>
                <w:rFonts w:eastAsia="仿宋"/>
                <w:sz w:val="24"/>
              </w:rPr>
              <w:t>具体名称</w:t>
            </w:r>
          </w:p>
        </w:tc>
        <w:tc>
          <w:tcPr>
            <w:tcW w:w="851" w:type="dxa"/>
            <w:vAlign w:val="center"/>
          </w:tcPr>
          <w:p w14:paraId="00509522" w14:textId="77777777" w:rsidR="00C20422" w:rsidRPr="003316F7" w:rsidRDefault="00C20422" w:rsidP="00045D73">
            <w:pPr>
              <w:jc w:val="center"/>
              <w:rPr>
                <w:rFonts w:eastAsia="仿宋"/>
                <w:sz w:val="24"/>
              </w:rPr>
            </w:pPr>
            <w:r w:rsidRPr="003316F7">
              <w:rPr>
                <w:rFonts w:eastAsia="仿宋"/>
                <w:sz w:val="24"/>
              </w:rPr>
              <w:t>国家</w:t>
            </w:r>
          </w:p>
          <w:p w14:paraId="2E75EDF4" w14:textId="77777777" w:rsidR="00C20422" w:rsidRPr="003316F7" w:rsidRDefault="00C20422" w:rsidP="00045D73">
            <w:pPr>
              <w:jc w:val="center"/>
              <w:rPr>
                <w:rFonts w:eastAsia="仿宋"/>
                <w:sz w:val="24"/>
              </w:rPr>
            </w:pPr>
            <w:r>
              <w:rPr>
                <w:rFonts w:eastAsia="仿宋" w:hint="eastAsia"/>
                <w:sz w:val="24"/>
              </w:rPr>
              <w:t>(</w:t>
            </w:r>
            <w:r w:rsidRPr="003316F7">
              <w:rPr>
                <w:rFonts w:eastAsia="仿宋"/>
                <w:sz w:val="24"/>
              </w:rPr>
              <w:t>地区</w:t>
            </w:r>
            <w:r>
              <w:rPr>
                <w:rFonts w:eastAsia="仿宋" w:hint="eastAsia"/>
                <w:sz w:val="24"/>
              </w:rPr>
              <w:t>)</w:t>
            </w:r>
          </w:p>
        </w:tc>
        <w:tc>
          <w:tcPr>
            <w:tcW w:w="1105" w:type="dxa"/>
            <w:vAlign w:val="center"/>
          </w:tcPr>
          <w:p w14:paraId="7D3670BF" w14:textId="77777777" w:rsidR="00C20422" w:rsidRPr="003316F7" w:rsidRDefault="00C20422" w:rsidP="00045D73">
            <w:pPr>
              <w:jc w:val="center"/>
              <w:rPr>
                <w:rFonts w:eastAsia="仿宋"/>
                <w:sz w:val="24"/>
              </w:rPr>
            </w:pPr>
            <w:r w:rsidRPr="003316F7">
              <w:rPr>
                <w:rFonts w:eastAsia="仿宋"/>
                <w:sz w:val="24"/>
              </w:rPr>
              <w:t>授权号</w:t>
            </w:r>
            <w:r>
              <w:rPr>
                <w:rFonts w:eastAsia="仿宋" w:hint="eastAsia"/>
                <w:sz w:val="24"/>
              </w:rPr>
              <w:t>(</w:t>
            </w:r>
            <w:r w:rsidRPr="003316F7">
              <w:rPr>
                <w:rFonts w:eastAsia="仿宋"/>
                <w:sz w:val="24"/>
              </w:rPr>
              <w:t>标准编号</w:t>
            </w:r>
            <w:r>
              <w:rPr>
                <w:rFonts w:eastAsia="仿宋" w:hint="eastAsia"/>
                <w:sz w:val="24"/>
              </w:rPr>
              <w:t>)</w:t>
            </w:r>
          </w:p>
        </w:tc>
        <w:tc>
          <w:tcPr>
            <w:tcW w:w="1134" w:type="dxa"/>
            <w:vAlign w:val="center"/>
          </w:tcPr>
          <w:p w14:paraId="2C904613" w14:textId="77777777" w:rsidR="00C20422" w:rsidRPr="003316F7" w:rsidRDefault="00C20422" w:rsidP="00045D73">
            <w:pPr>
              <w:jc w:val="center"/>
              <w:rPr>
                <w:rFonts w:eastAsia="仿宋"/>
                <w:sz w:val="24"/>
              </w:rPr>
            </w:pPr>
            <w:r w:rsidRPr="003316F7">
              <w:rPr>
                <w:rFonts w:eastAsia="仿宋"/>
                <w:sz w:val="24"/>
              </w:rPr>
              <w:t>授权</w:t>
            </w:r>
            <w:r w:rsidRPr="003316F7">
              <w:rPr>
                <w:rFonts w:eastAsia="仿宋"/>
                <w:sz w:val="24"/>
              </w:rPr>
              <w:t>(</w:t>
            </w:r>
            <w:r w:rsidRPr="003316F7">
              <w:rPr>
                <w:rFonts w:eastAsia="仿宋"/>
                <w:sz w:val="24"/>
              </w:rPr>
              <w:t>标准发布</w:t>
            </w:r>
            <w:r w:rsidRPr="003316F7">
              <w:rPr>
                <w:rFonts w:eastAsia="仿宋"/>
                <w:sz w:val="24"/>
              </w:rPr>
              <w:t>)</w:t>
            </w:r>
          </w:p>
          <w:p w14:paraId="35DD15F4" w14:textId="77777777" w:rsidR="00C20422" w:rsidRPr="003316F7" w:rsidRDefault="00C20422" w:rsidP="00045D73">
            <w:pPr>
              <w:jc w:val="center"/>
              <w:rPr>
                <w:rFonts w:eastAsia="仿宋"/>
                <w:sz w:val="24"/>
              </w:rPr>
            </w:pPr>
            <w:r w:rsidRPr="003316F7">
              <w:rPr>
                <w:rFonts w:eastAsia="仿宋"/>
                <w:sz w:val="24"/>
              </w:rPr>
              <w:t>日期</w:t>
            </w:r>
          </w:p>
        </w:tc>
        <w:tc>
          <w:tcPr>
            <w:tcW w:w="1163" w:type="dxa"/>
            <w:vAlign w:val="center"/>
          </w:tcPr>
          <w:p w14:paraId="7D9FFD51" w14:textId="77777777" w:rsidR="00C20422" w:rsidRPr="003316F7" w:rsidRDefault="00C20422" w:rsidP="00045D73">
            <w:pPr>
              <w:jc w:val="center"/>
              <w:rPr>
                <w:rFonts w:eastAsia="仿宋"/>
                <w:sz w:val="24"/>
              </w:rPr>
            </w:pPr>
            <w:r w:rsidRPr="003316F7">
              <w:rPr>
                <w:rFonts w:eastAsia="仿宋"/>
                <w:sz w:val="24"/>
              </w:rPr>
              <w:t>证书编号</w:t>
            </w:r>
            <w:r>
              <w:rPr>
                <w:rFonts w:eastAsia="仿宋" w:hint="eastAsia"/>
                <w:sz w:val="24"/>
              </w:rPr>
              <w:t>(</w:t>
            </w:r>
            <w:r w:rsidRPr="003316F7">
              <w:rPr>
                <w:rFonts w:eastAsia="仿宋"/>
                <w:sz w:val="24"/>
              </w:rPr>
              <w:t>标准批准发布部门</w:t>
            </w:r>
            <w:r>
              <w:rPr>
                <w:rFonts w:eastAsia="仿宋" w:hint="eastAsia"/>
                <w:sz w:val="24"/>
              </w:rPr>
              <w:t>)</w:t>
            </w:r>
          </w:p>
        </w:tc>
        <w:tc>
          <w:tcPr>
            <w:tcW w:w="1134" w:type="dxa"/>
            <w:vAlign w:val="center"/>
          </w:tcPr>
          <w:p w14:paraId="7DC5F7CB" w14:textId="77777777" w:rsidR="00C20422" w:rsidRPr="003316F7" w:rsidRDefault="00C20422" w:rsidP="00045D73">
            <w:pPr>
              <w:jc w:val="center"/>
              <w:rPr>
                <w:rFonts w:eastAsia="仿宋"/>
                <w:sz w:val="24"/>
              </w:rPr>
            </w:pPr>
            <w:r w:rsidRPr="003316F7">
              <w:rPr>
                <w:rFonts w:eastAsia="仿宋"/>
                <w:sz w:val="24"/>
              </w:rPr>
              <w:t>权利人</w:t>
            </w:r>
            <w:r>
              <w:rPr>
                <w:rFonts w:eastAsia="仿宋" w:hint="eastAsia"/>
                <w:sz w:val="24"/>
              </w:rPr>
              <w:t>(</w:t>
            </w:r>
            <w:r w:rsidRPr="003316F7">
              <w:rPr>
                <w:rFonts w:eastAsia="仿宋"/>
                <w:sz w:val="24"/>
              </w:rPr>
              <w:t>标准起草单位</w:t>
            </w:r>
            <w:r>
              <w:rPr>
                <w:rFonts w:eastAsia="仿宋" w:hint="eastAsia"/>
                <w:sz w:val="24"/>
              </w:rPr>
              <w:t>)</w:t>
            </w:r>
          </w:p>
        </w:tc>
        <w:tc>
          <w:tcPr>
            <w:tcW w:w="1247" w:type="dxa"/>
            <w:vAlign w:val="center"/>
          </w:tcPr>
          <w:p w14:paraId="2EC03230" w14:textId="77777777" w:rsidR="00C20422" w:rsidRPr="003316F7" w:rsidRDefault="00C20422" w:rsidP="00045D73">
            <w:pPr>
              <w:ind w:left="135"/>
              <w:jc w:val="left"/>
              <w:rPr>
                <w:rFonts w:eastAsia="仿宋"/>
                <w:sz w:val="24"/>
              </w:rPr>
            </w:pPr>
            <w:r w:rsidRPr="003316F7">
              <w:rPr>
                <w:rFonts w:eastAsia="仿宋"/>
                <w:sz w:val="24"/>
              </w:rPr>
              <w:t>发明人</w:t>
            </w:r>
            <w:r>
              <w:rPr>
                <w:rFonts w:eastAsia="仿宋" w:hint="eastAsia"/>
                <w:sz w:val="24"/>
              </w:rPr>
              <w:t>(</w:t>
            </w:r>
            <w:r w:rsidRPr="003316F7">
              <w:rPr>
                <w:rFonts w:eastAsia="仿宋"/>
                <w:sz w:val="24"/>
              </w:rPr>
              <w:t>标准起草人</w:t>
            </w:r>
            <w:r>
              <w:rPr>
                <w:rFonts w:eastAsia="仿宋" w:hint="eastAsia"/>
                <w:sz w:val="24"/>
              </w:rPr>
              <w:t>)</w:t>
            </w:r>
          </w:p>
        </w:tc>
      </w:tr>
      <w:tr w:rsidR="00C20422" w:rsidRPr="003316F7" w14:paraId="2334FD37" w14:textId="77777777" w:rsidTr="0052133A">
        <w:trPr>
          <w:trHeight w:val="468"/>
        </w:trPr>
        <w:tc>
          <w:tcPr>
            <w:tcW w:w="455" w:type="dxa"/>
            <w:vAlign w:val="center"/>
          </w:tcPr>
          <w:p w14:paraId="53067423" w14:textId="77777777" w:rsidR="00C20422" w:rsidRPr="00C20422" w:rsidRDefault="00C20422" w:rsidP="00045D73">
            <w:pPr>
              <w:jc w:val="left"/>
              <w:rPr>
                <w:rFonts w:ascii="Times New Roman" w:eastAsia="仿宋" w:hAnsi="Times New Roman" w:cs="Times New Roman"/>
                <w:sz w:val="24"/>
              </w:rPr>
            </w:pPr>
            <w:r w:rsidRPr="00C20422">
              <w:rPr>
                <w:rFonts w:ascii="Times New Roman" w:eastAsia="仿宋" w:hAnsi="Times New Roman" w:cs="Times New Roman"/>
                <w:sz w:val="24"/>
              </w:rPr>
              <w:t>1</w:t>
            </w:r>
          </w:p>
        </w:tc>
        <w:tc>
          <w:tcPr>
            <w:tcW w:w="1275" w:type="dxa"/>
            <w:vAlign w:val="center"/>
          </w:tcPr>
          <w:p w14:paraId="39A23EA7" w14:textId="77777777" w:rsidR="00C20422" w:rsidRPr="00C20422" w:rsidRDefault="00C20422" w:rsidP="00045D73">
            <w:pPr>
              <w:pStyle w:val="a7"/>
              <w:ind w:firstLine="0"/>
              <w:jc w:val="left"/>
              <w:rPr>
                <w:color w:val="000000"/>
                <w:sz w:val="24"/>
              </w:rPr>
            </w:pPr>
            <w:r w:rsidRPr="00C20422">
              <w:rPr>
                <w:color w:val="000000"/>
                <w:sz w:val="24"/>
              </w:rPr>
              <w:t>发明专利</w:t>
            </w:r>
          </w:p>
        </w:tc>
        <w:tc>
          <w:tcPr>
            <w:tcW w:w="1276" w:type="dxa"/>
            <w:vAlign w:val="center"/>
          </w:tcPr>
          <w:p w14:paraId="204A61A4" w14:textId="77777777" w:rsidR="00C20422" w:rsidRPr="00C20422" w:rsidRDefault="00C20422" w:rsidP="00045D73">
            <w:pPr>
              <w:pStyle w:val="a7"/>
              <w:ind w:firstLine="0"/>
              <w:jc w:val="left"/>
              <w:rPr>
                <w:color w:val="000000"/>
                <w:sz w:val="24"/>
              </w:rPr>
            </w:pPr>
            <w:r w:rsidRPr="00C20422">
              <w:rPr>
                <w:color w:val="000000"/>
                <w:sz w:val="24"/>
              </w:rPr>
              <w:t>一种自发类风湿性关节炎小鼠模型的构建方法</w:t>
            </w:r>
          </w:p>
        </w:tc>
        <w:tc>
          <w:tcPr>
            <w:tcW w:w="851" w:type="dxa"/>
            <w:vAlign w:val="center"/>
          </w:tcPr>
          <w:p w14:paraId="6090834E" w14:textId="77777777" w:rsidR="00C20422" w:rsidRPr="00C20422" w:rsidRDefault="00C20422" w:rsidP="00045D73">
            <w:pPr>
              <w:pStyle w:val="a7"/>
              <w:ind w:firstLine="0"/>
              <w:jc w:val="left"/>
              <w:rPr>
                <w:color w:val="000000"/>
                <w:sz w:val="24"/>
              </w:rPr>
            </w:pPr>
            <w:r w:rsidRPr="00C20422">
              <w:rPr>
                <w:color w:val="000000"/>
                <w:sz w:val="24"/>
              </w:rPr>
              <w:t>中国</w:t>
            </w:r>
          </w:p>
          <w:p w14:paraId="230A200E" w14:textId="77777777" w:rsidR="00C20422" w:rsidRPr="00C20422" w:rsidRDefault="00C20422" w:rsidP="00045D73">
            <w:pPr>
              <w:pStyle w:val="a7"/>
              <w:ind w:firstLine="0"/>
              <w:jc w:val="left"/>
              <w:rPr>
                <w:color w:val="000000"/>
                <w:sz w:val="24"/>
              </w:rPr>
            </w:pPr>
            <w:r w:rsidRPr="00C20422">
              <w:rPr>
                <w:color w:val="000000"/>
                <w:sz w:val="24"/>
              </w:rPr>
              <w:t>上海</w:t>
            </w:r>
          </w:p>
        </w:tc>
        <w:tc>
          <w:tcPr>
            <w:tcW w:w="1105" w:type="dxa"/>
            <w:vAlign w:val="center"/>
          </w:tcPr>
          <w:p w14:paraId="567C6EF5" w14:textId="77777777" w:rsidR="00C20422" w:rsidRPr="00C20422" w:rsidRDefault="00C20422" w:rsidP="00045D73">
            <w:pPr>
              <w:pStyle w:val="a7"/>
              <w:ind w:firstLine="0"/>
              <w:jc w:val="left"/>
              <w:rPr>
                <w:color w:val="000000"/>
                <w:sz w:val="24"/>
              </w:rPr>
            </w:pPr>
            <w:r w:rsidRPr="00C20422">
              <w:rPr>
                <w:color w:val="000000"/>
                <w:sz w:val="24"/>
              </w:rPr>
              <w:t>CN113068660B</w:t>
            </w:r>
          </w:p>
        </w:tc>
        <w:tc>
          <w:tcPr>
            <w:tcW w:w="1134" w:type="dxa"/>
            <w:vAlign w:val="center"/>
          </w:tcPr>
          <w:p w14:paraId="7EB99DD8" w14:textId="77777777" w:rsidR="00C20422" w:rsidRPr="00C20422" w:rsidRDefault="00C20422" w:rsidP="00045D73">
            <w:pPr>
              <w:pStyle w:val="a7"/>
              <w:ind w:firstLine="0"/>
              <w:jc w:val="left"/>
              <w:rPr>
                <w:color w:val="000000"/>
                <w:sz w:val="24"/>
              </w:rPr>
            </w:pPr>
            <w:r w:rsidRPr="00C20422">
              <w:rPr>
                <w:color w:val="000000"/>
                <w:sz w:val="24"/>
              </w:rPr>
              <w:t>2022.8.5</w:t>
            </w:r>
          </w:p>
        </w:tc>
        <w:tc>
          <w:tcPr>
            <w:tcW w:w="1163" w:type="dxa"/>
            <w:vAlign w:val="center"/>
          </w:tcPr>
          <w:p w14:paraId="31E95670" w14:textId="77777777" w:rsidR="00C20422" w:rsidRPr="00C20422" w:rsidRDefault="00C20422" w:rsidP="00045D73">
            <w:pPr>
              <w:pStyle w:val="a7"/>
              <w:ind w:firstLine="0"/>
              <w:jc w:val="left"/>
              <w:rPr>
                <w:color w:val="000000"/>
                <w:sz w:val="24"/>
              </w:rPr>
            </w:pPr>
            <w:r w:rsidRPr="00C20422">
              <w:rPr>
                <w:color w:val="000000"/>
                <w:sz w:val="24"/>
              </w:rPr>
              <w:t>5361953</w:t>
            </w:r>
          </w:p>
        </w:tc>
        <w:tc>
          <w:tcPr>
            <w:tcW w:w="1134" w:type="dxa"/>
            <w:vAlign w:val="center"/>
          </w:tcPr>
          <w:p w14:paraId="5FA5E0F9" w14:textId="77777777" w:rsidR="00C20422" w:rsidRPr="00C20422" w:rsidRDefault="00C20422" w:rsidP="00045D73">
            <w:pPr>
              <w:pStyle w:val="a7"/>
              <w:ind w:firstLine="0"/>
              <w:jc w:val="left"/>
              <w:rPr>
                <w:color w:val="000000"/>
                <w:sz w:val="24"/>
              </w:rPr>
            </w:pPr>
            <w:r w:rsidRPr="00C20422">
              <w:rPr>
                <w:color w:val="000000"/>
                <w:sz w:val="24"/>
              </w:rPr>
              <w:t>华东师范大学</w:t>
            </w:r>
          </w:p>
        </w:tc>
        <w:tc>
          <w:tcPr>
            <w:tcW w:w="1247" w:type="dxa"/>
            <w:vAlign w:val="center"/>
          </w:tcPr>
          <w:p w14:paraId="79B4ABF0" w14:textId="77777777" w:rsidR="00C20422" w:rsidRPr="00C20422" w:rsidRDefault="00C20422" w:rsidP="00045D73">
            <w:pPr>
              <w:pStyle w:val="a7"/>
              <w:ind w:firstLine="0"/>
              <w:jc w:val="left"/>
              <w:rPr>
                <w:color w:val="000000"/>
                <w:sz w:val="24"/>
              </w:rPr>
            </w:pPr>
            <w:r w:rsidRPr="00C20422">
              <w:rPr>
                <w:color w:val="000000"/>
                <w:sz w:val="24"/>
              </w:rPr>
              <w:t>李大力，曾之扬，陆佳微，曹希雅</w:t>
            </w:r>
          </w:p>
        </w:tc>
      </w:tr>
      <w:tr w:rsidR="00C20422" w:rsidRPr="003316F7" w14:paraId="6356DA5B" w14:textId="77777777" w:rsidTr="0052133A">
        <w:trPr>
          <w:trHeight w:val="468"/>
        </w:trPr>
        <w:tc>
          <w:tcPr>
            <w:tcW w:w="455" w:type="dxa"/>
            <w:vAlign w:val="center"/>
          </w:tcPr>
          <w:p w14:paraId="42E2F787" w14:textId="77777777" w:rsidR="00C20422" w:rsidRPr="00C20422" w:rsidRDefault="00C20422" w:rsidP="00045D73">
            <w:pPr>
              <w:jc w:val="left"/>
              <w:rPr>
                <w:rFonts w:ascii="Times New Roman" w:eastAsia="仿宋" w:hAnsi="Times New Roman" w:cs="Times New Roman"/>
                <w:sz w:val="24"/>
              </w:rPr>
            </w:pPr>
            <w:r w:rsidRPr="00C20422">
              <w:rPr>
                <w:rFonts w:ascii="Times New Roman" w:eastAsia="仿宋" w:hAnsi="Times New Roman" w:cs="Times New Roman"/>
                <w:sz w:val="24"/>
              </w:rPr>
              <w:t>2</w:t>
            </w:r>
          </w:p>
        </w:tc>
        <w:tc>
          <w:tcPr>
            <w:tcW w:w="1275" w:type="dxa"/>
            <w:vAlign w:val="center"/>
          </w:tcPr>
          <w:p w14:paraId="183EDA00" w14:textId="4A3D3808" w:rsidR="00C20422" w:rsidRPr="00C20422" w:rsidRDefault="00485F8D" w:rsidP="00045D73">
            <w:pPr>
              <w:jc w:val="left"/>
              <w:rPr>
                <w:rFonts w:ascii="Times New Roman" w:eastAsia="仿宋" w:hAnsi="Times New Roman" w:cs="Times New Roman"/>
                <w:sz w:val="24"/>
              </w:rPr>
            </w:pPr>
            <w:r>
              <w:rPr>
                <w:rFonts w:ascii="Times New Roman" w:eastAsia="仿宋" w:hAnsi="Times New Roman" w:cs="Times New Roman" w:hint="eastAsia"/>
                <w:sz w:val="24"/>
              </w:rPr>
              <w:t>规范</w:t>
            </w:r>
          </w:p>
        </w:tc>
        <w:tc>
          <w:tcPr>
            <w:tcW w:w="1276" w:type="dxa"/>
            <w:vAlign w:val="center"/>
          </w:tcPr>
          <w:p w14:paraId="3E3DF151" w14:textId="77777777" w:rsidR="00C20422" w:rsidRPr="00C20422" w:rsidRDefault="00C20422" w:rsidP="00045D73">
            <w:pPr>
              <w:rPr>
                <w:rFonts w:ascii="Times New Roman" w:eastAsia="仿宋" w:hAnsi="Times New Roman" w:cs="Times New Roman"/>
                <w:sz w:val="24"/>
              </w:rPr>
            </w:pPr>
            <w:r w:rsidRPr="00C20422">
              <w:rPr>
                <w:rFonts w:ascii="Times New Roman" w:eastAsia="仿宋" w:hAnsi="Times New Roman" w:cs="Times New Roman"/>
                <w:sz w:val="24"/>
              </w:rPr>
              <w:t>中国极早发型炎症性肠病外科管理专家共识</w:t>
            </w:r>
          </w:p>
        </w:tc>
        <w:tc>
          <w:tcPr>
            <w:tcW w:w="851" w:type="dxa"/>
            <w:vAlign w:val="center"/>
          </w:tcPr>
          <w:p w14:paraId="695F768E" w14:textId="77777777" w:rsidR="00C20422" w:rsidRPr="00C20422" w:rsidRDefault="00C20422" w:rsidP="00045D73">
            <w:pPr>
              <w:pStyle w:val="a7"/>
              <w:ind w:firstLine="0"/>
              <w:jc w:val="left"/>
              <w:rPr>
                <w:color w:val="000000"/>
                <w:sz w:val="24"/>
              </w:rPr>
            </w:pPr>
            <w:r w:rsidRPr="00C20422">
              <w:rPr>
                <w:color w:val="000000"/>
                <w:sz w:val="24"/>
              </w:rPr>
              <w:t>中国</w:t>
            </w:r>
          </w:p>
          <w:p w14:paraId="0E542664" w14:textId="77777777" w:rsidR="00C20422" w:rsidRPr="00C20422" w:rsidRDefault="00C20422" w:rsidP="00045D73">
            <w:pPr>
              <w:rPr>
                <w:rFonts w:ascii="Times New Roman" w:eastAsia="仿宋" w:hAnsi="Times New Roman" w:cs="Times New Roman"/>
                <w:sz w:val="24"/>
              </w:rPr>
            </w:pPr>
            <w:r w:rsidRPr="00C20422">
              <w:rPr>
                <w:rFonts w:ascii="Times New Roman" w:eastAsia="仿宋_GB2312" w:hAnsi="Times New Roman" w:cs="Times New Roman"/>
                <w:color w:val="000000"/>
                <w:sz w:val="24"/>
              </w:rPr>
              <w:t>上海</w:t>
            </w:r>
          </w:p>
        </w:tc>
        <w:tc>
          <w:tcPr>
            <w:tcW w:w="1105" w:type="dxa"/>
            <w:vAlign w:val="center"/>
          </w:tcPr>
          <w:p w14:paraId="4D518705" w14:textId="77777777" w:rsidR="00C20422" w:rsidRPr="00C20422" w:rsidRDefault="00C20422" w:rsidP="00045D73">
            <w:pPr>
              <w:jc w:val="left"/>
              <w:rPr>
                <w:rFonts w:ascii="Times New Roman" w:eastAsia="仿宋" w:hAnsi="Times New Roman" w:cs="Times New Roman"/>
                <w:sz w:val="24"/>
              </w:rPr>
            </w:pPr>
            <w:r w:rsidRPr="00C20422">
              <w:rPr>
                <w:rFonts w:ascii="Times New Roman" w:eastAsia="仿宋" w:hAnsi="Times New Roman" w:cs="Times New Roman"/>
                <w:sz w:val="24"/>
              </w:rPr>
              <w:t>中华炎性肠病杂志</w:t>
            </w:r>
          </w:p>
        </w:tc>
        <w:tc>
          <w:tcPr>
            <w:tcW w:w="1134" w:type="dxa"/>
            <w:vAlign w:val="center"/>
          </w:tcPr>
          <w:p w14:paraId="4BB5A99A" w14:textId="77777777" w:rsidR="00C20422" w:rsidRPr="00C20422" w:rsidRDefault="00C20422" w:rsidP="00045D73">
            <w:pPr>
              <w:jc w:val="left"/>
              <w:rPr>
                <w:rFonts w:ascii="Times New Roman" w:eastAsia="仿宋" w:hAnsi="Times New Roman" w:cs="Times New Roman"/>
                <w:sz w:val="24"/>
              </w:rPr>
            </w:pPr>
            <w:r w:rsidRPr="00C20422">
              <w:rPr>
                <w:rFonts w:ascii="Times New Roman" w:eastAsia="仿宋" w:hAnsi="Times New Roman" w:cs="Times New Roman"/>
                <w:sz w:val="24"/>
              </w:rPr>
              <w:t>2023.4</w:t>
            </w:r>
          </w:p>
        </w:tc>
        <w:tc>
          <w:tcPr>
            <w:tcW w:w="1163" w:type="dxa"/>
            <w:vAlign w:val="center"/>
          </w:tcPr>
          <w:p w14:paraId="13384A2C" w14:textId="103115B0" w:rsidR="00C20422" w:rsidRPr="00C20422" w:rsidRDefault="002E296E" w:rsidP="00045D73">
            <w:pPr>
              <w:jc w:val="left"/>
              <w:rPr>
                <w:rFonts w:ascii="Times New Roman" w:eastAsia="仿宋" w:hAnsi="Times New Roman" w:cs="Times New Roman"/>
                <w:sz w:val="24"/>
              </w:rPr>
            </w:pPr>
            <w:r>
              <w:rPr>
                <w:rFonts w:ascii="Times New Roman" w:eastAsia="仿宋" w:hAnsi="Times New Roman" w:cs="Times New Roman" w:hint="eastAsia"/>
                <w:sz w:val="24"/>
              </w:rPr>
              <w:t>/</w:t>
            </w:r>
          </w:p>
        </w:tc>
        <w:tc>
          <w:tcPr>
            <w:tcW w:w="1134" w:type="dxa"/>
            <w:vAlign w:val="center"/>
          </w:tcPr>
          <w:p w14:paraId="71822990" w14:textId="77777777" w:rsidR="00C20422" w:rsidRPr="00C20422" w:rsidRDefault="00C20422" w:rsidP="00045D73">
            <w:pPr>
              <w:jc w:val="left"/>
              <w:rPr>
                <w:rFonts w:ascii="Times New Roman" w:eastAsia="仿宋" w:hAnsi="Times New Roman" w:cs="Times New Roman"/>
                <w:sz w:val="24"/>
              </w:rPr>
            </w:pPr>
            <w:r w:rsidRPr="00C20422">
              <w:rPr>
                <w:rFonts w:ascii="Times New Roman" w:eastAsia="仿宋" w:hAnsi="Times New Roman" w:cs="Times New Roman"/>
                <w:sz w:val="24"/>
              </w:rPr>
              <w:t>中华医学会消化病学分会炎症性肠病学组儿科协作组</w:t>
            </w:r>
          </w:p>
        </w:tc>
        <w:tc>
          <w:tcPr>
            <w:tcW w:w="1247" w:type="dxa"/>
            <w:vAlign w:val="center"/>
          </w:tcPr>
          <w:p w14:paraId="29816044" w14:textId="77777777" w:rsidR="00C20422" w:rsidRPr="00C20422" w:rsidRDefault="00C20422" w:rsidP="00045D73">
            <w:pPr>
              <w:jc w:val="left"/>
              <w:rPr>
                <w:rFonts w:ascii="Times New Roman" w:eastAsia="仿宋" w:hAnsi="Times New Roman" w:cs="Times New Roman"/>
                <w:sz w:val="24"/>
              </w:rPr>
            </w:pPr>
            <w:r w:rsidRPr="00C20422">
              <w:rPr>
                <w:rFonts w:ascii="Times New Roman" w:eastAsia="仿宋" w:hAnsi="Times New Roman" w:cs="Times New Roman"/>
                <w:sz w:val="24"/>
              </w:rPr>
              <w:t>黄瑛</w:t>
            </w:r>
          </w:p>
        </w:tc>
      </w:tr>
      <w:tr w:rsidR="00C20422" w:rsidRPr="003316F7" w14:paraId="7B7DBDFB" w14:textId="77777777" w:rsidTr="0052133A">
        <w:trPr>
          <w:trHeight w:val="468"/>
        </w:trPr>
        <w:tc>
          <w:tcPr>
            <w:tcW w:w="455" w:type="dxa"/>
            <w:vAlign w:val="center"/>
          </w:tcPr>
          <w:p w14:paraId="1603C41B" w14:textId="77777777" w:rsidR="00C20422" w:rsidRPr="00C20422" w:rsidRDefault="00C20422" w:rsidP="00045D73">
            <w:pPr>
              <w:jc w:val="left"/>
              <w:rPr>
                <w:rFonts w:ascii="Times New Roman" w:eastAsia="仿宋" w:hAnsi="Times New Roman" w:cs="Times New Roman"/>
                <w:sz w:val="24"/>
              </w:rPr>
            </w:pPr>
            <w:r w:rsidRPr="00C20422">
              <w:rPr>
                <w:rFonts w:ascii="Times New Roman" w:eastAsia="仿宋" w:hAnsi="Times New Roman" w:cs="Times New Roman"/>
                <w:sz w:val="24"/>
              </w:rPr>
              <w:t>3</w:t>
            </w:r>
          </w:p>
        </w:tc>
        <w:tc>
          <w:tcPr>
            <w:tcW w:w="1275" w:type="dxa"/>
          </w:tcPr>
          <w:p w14:paraId="2986FAA1" w14:textId="12EDBA8C" w:rsidR="00C20422" w:rsidRPr="00C20422" w:rsidRDefault="00485F8D" w:rsidP="00045D73">
            <w:pPr>
              <w:rPr>
                <w:rFonts w:ascii="Times New Roman" w:hAnsi="Times New Roman" w:cs="Times New Roman"/>
              </w:rPr>
            </w:pPr>
            <w:r>
              <w:rPr>
                <w:rFonts w:ascii="Times New Roman" w:eastAsia="仿宋" w:hAnsi="Times New Roman" w:cs="Times New Roman" w:hint="eastAsia"/>
                <w:sz w:val="24"/>
              </w:rPr>
              <w:t>规范</w:t>
            </w:r>
          </w:p>
        </w:tc>
        <w:tc>
          <w:tcPr>
            <w:tcW w:w="1276" w:type="dxa"/>
            <w:vAlign w:val="center"/>
          </w:tcPr>
          <w:p w14:paraId="3A49BC85" w14:textId="77777777" w:rsidR="00C20422" w:rsidRPr="00C20422" w:rsidRDefault="00C20422" w:rsidP="00045D73">
            <w:pPr>
              <w:rPr>
                <w:rFonts w:ascii="Times New Roman" w:eastAsia="仿宋" w:hAnsi="Times New Roman" w:cs="Times New Roman"/>
                <w:sz w:val="24"/>
              </w:rPr>
            </w:pPr>
            <w:r w:rsidRPr="00C20422">
              <w:rPr>
                <w:rFonts w:ascii="Times New Roman" w:eastAsia="仿宋" w:hAnsi="Times New Roman" w:cs="Times New Roman"/>
                <w:sz w:val="24"/>
              </w:rPr>
              <w:t>抗肿瘤坏死因子</w:t>
            </w:r>
            <w:r w:rsidRPr="00C20422">
              <w:rPr>
                <w:rFonts w:ascii="Times New Roman" w:eastAsia="仿宋" w:hAnsi="Times New Roman" w:cs="Times New Roman"/>
                <w:sz w:val="24"/>
              </w:rPr>
              <w:t>⁃α</w:t>
            </w:r>
            <w:r w:rsidRPr="00C20422">
              <w:rPr>
                <w:rFonts w:ascii="Times New Roman" w:eastAsia="仿宋" w:hAnsi="Times New Roman" w:cs="Times New Roman"/>
                <w:sz w:val="24"/>
              </w:rPr>
              <w:t>单克隆抗体治疗儿童克罗恩病的专家</w:t>
            </w:r>
            <w:r w:rsidRPr="00C20422">
              <w:rPr>
                <w:rFonts w:ascii="Times New Roman" w:eastAsia="仿宋" w:hAnsi="Times New Roman" w:cs="Times New Roman"/>
                <w:sz w:val="24"/>
              </w:rPr>
              <w:lastRenderedPageBreak/>
              <w:t>共识</w:t>
            </w:r>
          </w:p>
        </w:tc>
        <w:tc>
          <w:tcPr>
            <w:tcW w:w="851" w:type="dxa"/>
            <w:vAlign w:val="center"/>
          </w:tcPr>
          <w:p w14:paraId="39D1FF7A" w14:textId="77777777" w:rsidR="00C20422" w:rsidRPr="00C20422" w:rsidRDefault="00C20422" w:rsidP="00045D73">
            <w:pPr>
              <w:pStyle w:val="a7"/>
              <w:ind w:firstLine="0"/>
              <w:jc w:val="left"/>
              <w:rPr>
                <w:color w:val="000000"/>
                <w:sz w:val="24"/>
              </w:rPr>
            </w:pPr>
            <w:r w:rsidRPr="00C20422">
              <w:rPr>
                <w:color w:val="000000"/>
                <w:sz w:val="24"/>
              </w:rPr>
              <w:lastRenderedPageBreak/>
              <w:t>中国</w:t>
            </w:r>
          </w:p>
          <w:p w14:paraId="4842B7E6" w14:textId="77777777" w:rsidR="00C20422" w:rsidRPr="00C20422" w:rsidRDefault="00C20422" w:rsidP="00045D73">
            <w:pPr>
              <w:rPr>
                <w:rFonts w:ascii="Times New Roman" w:eastAsia="仿宋" w:hAnsi="Times New Roman" w:cs="Times New Roman"/>
                <w:sz w:val="24"/>
              </w:rPr>
            </w:pPr>
            <w:r w:rsidRPr="00C20422">
              <w:rPr>
                <w:rFonts w:ascii="Times New Roman" w:eastAsia="仿宋_GB2312" w:hAnsi="Times New Roman" w:cs="Times New Roman"/>
                <w:color w:val="000000"/>
                <w:sz w:val="24"/>
              </w:rPr>
              <w:t>上海</w:t>
            </w:r>
          </w:p>
        </w:tc>
        <w:tc>
          <w:tcPr>
            <w:tcW w:w="1105" w:type="dxa"/>
            <w:vAlign w:val="center"/>
          </w:tcPr>
          <w:p w14:paraId="4295BE75" w14:textId="77777777" w:rsidR="00C20422" w:rsidRPr="00C20422" w:rsidRDefault="00C20422" w:rsidP="00045D73">
            <w:pPr>
              <w:jc w:val="left"/>
              <w:rPr>
                <w:rFonts w:ascii="Times New Roman" w:eastAsia="仿宋" w:hAnsi="Times New Roman" w:cs="Times New Roman"/>
                <w:sz w:val="24"/>
              </w:rPr>
            </w:pPr>
            <w:r w:rsidRPr="00C20422">
              <w:rPr>
                <w:rFonts w:ascii="Times New Roman" w:eastAsia="仿宋" w:hAnsi="Times New Roman" w:cs="Times New Roman"/>
                <w:sz w:val="24"/>
              </w:rPr>
              <w:t>中华炎性肠病杂志</w:t>
            </w:r>
          </w:p>
        </w:tc>
        <w:tc>
          <w:tcPr>
            <w:tcW w:w="1134" w:type="dxa"/>
            <w:vAlign w:val="center"/>
          </w:tcPr>
          <w:p w14:paraId="05B8686C" w14:textId="77777777" w:rsidR="00C20422" w:rsidRPr="00C20422" w:rsidRDefault="00C20422" w:rsidP="00045D73">
            <w:pPr>
              <w:jc w:val="left"/>
              <w:rPr>
                <w:rFonts w:ascii="Times New Roman" w:eastAsia="仿宋" w:hAnsi="Times New Roman" w:cs="Times New Roman"/>
                <w:sz w:val="24"/>
              </w:rPr>
            </w:pPr>
            <w:r w:rsidRPr="00C20422">
              <w:rPr>
                <w:rFonts w:ascii="Times New Roman" w:eastAsia="仿宋" w:hAnsi="Times New Roman" w:cs="Times New Roman"/>
                <w:sz w:val="24"/>
              </w:rPr>
              <w:t>2021.4</w:t>
            </w:r>
          </w:p>
        </w:tc>
        <w:tc>
          <w:tcPr>
            <w:tcW w:w="1163" w:type="dxa"/>
            <w:vAlign w:val="center"/>
          </w:tcPr>
          <w:p w14:paraId="0E8AA984" w14:textId="4619CCEA" w:rsidR="00C20422" w:rsidRPr="00C20422" w:rsidRDefault="002E296E" w:rsidP="00045D73">
            <w:pPr>
              <w:jc w:val="left"/>
              <w:rPr>
                <w:rFonts w:ascii="Times New Roman" w:eastAsia="仿宋" w:hAnsi="Times New Roman" w:cs="Times New Roman"/>
                <w:sz w:val="24"/>
              </w:rPr>
            </w:pPr>
            <w:r>
              <w:rPr>
                <w:rFonts w:ascii="Times New Roman" w:eastAsia="仿宋" w:hAnsi="Times New Roman" w:cs="Times New Roman" w:hint="eastAsia"/>
                <w:sz w:val="24"/>
              </w:rPr>
              <w:t>/</w:t>
            </w:r>
          </w:p>
        </w:tc>
        <w:tc>
          <w:tcPr>
            <w:tcW w:w="1134" w:type="dxa"/>
            <w:vAlign w:val="center"/>
          </w:tcPr>
          <w:p w14:paraId="7895DBDB" w14:textId="77777777" w:rsidR="00C20422" w:rsidRPr="00C20422" w:rsidRDefault="00C20422" w:rsidP="00045D73">
            <w:pPr>
              <w:jc w:val="left"/>
              <w:rPr>
                <w:rFonts w:ascii="Times New Roman" w:eastAsia="仿宋" w:hAnsi="Times New Roman" w:cs="Times New Roman"/>
                <w:sz w:val="24"/>
              </w:rPr>
            </w:pPr>
            <w:r w:rsidRPr="00C20422">
              <w:rPr>
                <w:rFonts w:ascii="Times New Roman" w:eastAsia="仿宋" w:hAnsi="Times New Roman" w:cs="Times New Roman"/>
                <w:sz w:val="24"/>
              </w:rPr>
              <w:t>中华医学会消化病学分会炎症性肠病学组</w:t>
            </w:r>
            <w:r w:rsidRPr="00C20422">
              <w:rPr>
                <w:rFonts w:ascii="Times New Roman" w:eastAsia="仿宋" w:hAnsi="Times New Roman" w:cs="Times New Roman"/>
                <w:sz w:val="24"/>
              </w:rPr>
              <w:lastRenderedPageBreak/>
              <w:t>儿科协作组</w:t>
            </w:r>
          </w:p>
        </w:tc>
        <w:tc>
          <w:tcPr>
            <w:tcW w:w="1247" w:type="dxa"/>
            <w:vAlign w:val="center"/>
          </w:tcPr>
          <w:p w14:paraId="28205586" w14:textId="77777777" w:rsidR="00C20422" w:rsidRPr="00C20422" w:rsidRDefault="00C20422" w:rsidP="00045D73">
            <w:pPr>
              <w:jc w:val="left"/>
              <w:rPr>
                <w:rFonts w:ascii="Times New Roman" w:eastAsia="仿宋" w:hAnsi="Times New Roman" w:cs="Times New Roman"/>
                <w:sz w:val="24"/>
              </w:rPr>
            </w:pPr>
            <w:r w:rsidRPr="00C20422">
              <w:rPr>
                <w:rFonts w:ascii="Times New Roman" w:eastAsia="仿宋" w:hAnsi="Times New Roman" w:cs="Times New Roman"/>
                <w:sz w:val="24"/>
              </w:rPr>
              <w:lastRenderedPageBreak/>
              <w:t>黄瑛</w:t>
            </w:r>
          </w:p>
        </w:tc>
      </w:tr>
      <w:tr w:rsidR="00C20422" w:rsidRPr="003316F7" w14:paraId="380B8C55" w14:textId="77777777" w:rsidTr="0052133A">
        <w:trPr>
          <w:trHeight w:val="468"/>
        </w:trPr>
        <w:tc>
          <w:tcPr>
            <w:tcW w:w="455" w:type="dxa"/>
            <w:vAlign w:val="center"/>
          </w:tcPr>
          <w:p w14:paraId="21EE5141" w14:textId="77777777" w:rsidR="00C20422" w:rsidRPr="00C20422" w:rsidRDefault="00C20422" w:rsidP="00045D73">
            <w:pPr>
              <w:jc w:val="left"/>
              <w:rPr>
                <w:rFonts w:ascii="Times New Roman" w:eastAsia="仿宋" w:hAnsi="Times New Roman" w:cs="Times New Roman"/>
                <w:sz w:val="24"/>
              </w:rPr>
            </w:pPr>
            <w:r w:rsidRPr="00C20422">
              <w:rPr>
                <w:rFonts w:ascii="Times New Roman" w:eastAsia="仿宋" w:hAnsi="Times New Roman" w:cs="Times New Roman"/>
                <w:sz w:val="24"/>
              </w:rPr>
              <w:t>4</w:t>
            </w:r>
          </w:p>
        </w:tc>
        <w:tc>
          <w:tcPr>
            <w:tcW w:w="1275" w:type="dxa"/>
          </w:tcPr>
          <w:p w14:paraId="4EAFE2E2" w14:textId="1A3B0B86" w:rsidR="00C20422" w:rsidRPr="00D450AA" w:rsidRDefault="00485F8D" w:rsidP="00D450AA">
            <w:pPr>
              <w:jc w:val="left"/>
              <w:rPr>
                <w:rFonts w:ascii="Times New Roman" w:eastAsia="仿宋" w:hAnsi="Times New Roman" w:cs="Times New Roman"/>
                <w:sz w:val="24"/>
              </w:rPr>
            </w:pPr>
            <w:r w:rsidRPr="00D450AA">
              <w:rPr>
                <w:rFonts w:ascii="Times New Roman" w:eastAsia="仿宋" w:hAnsi="Times New Roman" w:cs="Times New Roman" w:hint="eastAsia"/>
                <w:sz w:val="24"/>
              </w:rPr>
              <w:t>规范</w:t>
            </w:r>
          </w:p>
        </w:tc>
        <w:tc>
          <w:tcPr>
            <w:tcW w:w="1276" w:type="dxa"/>
            <w:vAlign w:val="center"/>
          </w:tcPr>
          <w:p w14:paraId="4C9FE1C0" w14:textId="77777777" w:rsidR="00C20422" w:rsidRPr="00C20422" w:rsidRDefault="00C20422" w:rsidP="00045D73">
            <w:pPr>
              <w:rPr>
                <w:rFonts w:ascii="Times New Roman" w:eastAsia="仿宋" w:hAnsi="Times New Roman" w:cs="Times New Roman"/>
                <w:sz w:val="24"/>
              </w:rPr>
            </w:pPr>
            <w:r w:rsidRPr="00C20422">
              <w:rPr>
                <w:rFonts w:ascii="Times New Roman" w:eastAsia="仿宋" w:hAnsi="Times New Roman" w:cs="Times New Roman"/>
                <w:sz w:val="24"/>
              </w:rPr>
              <w:t>麻醉状态下儿童择期结肠镜检查肠道准备专家共识</w:t>
            </w:r>
          </w:p>
        </w:tc>
        <w:tc>
          <w:tcPr>
            <w:tcW w:w="851" w:type="dxa"/>
            <w:vAlign w:val="center"/>
          </w:tcPr>
          <w:p w14:paraId="2CA460F0" w14:textId="77777777" w:rsidR="00C20422" w:rsidRPr="00C20422" w:rsidRDefault="00C20422" w:rsidP="00045D73">
            <w:pPr>
              <w:pStyle w:val="a7"/>
              <w:ind w:firstLine="0"/>
              <w:jc w:val="left"/>
              <w:rPr>
                <w:color w:val="000000"/>
                <w:sz w:val="24"/>
              </w:rPr>
            </w:pPr>
            <w:r w:rsidRPr="00C20422">
              <w:rPr>
                <w:color w:val="000000"/>
                <w:sz w:val="24"/>
              </w:rPr>
              <w:t>中国</w:t>
            </w:r>
          </w:p>
          <w:p w14:paraId="39279707" w14:textId="77777777" w:rsidR="00C20422" w:rsidRPr="00C20422" w:rsidRDefault="00C20422" w:rsidP="00045D73">
            <w:pPr>
              <w:rPr>
                <w:rFonts w:ascii="Times New Roman" w:eastAsia="仿宋" w:hAnsi="Times New Roman" w:cs="Times New Roman"/>
                <w:sz w:val="24"/>
              </w:rPr>
            </w:pPr>
            <w:r w:rsidRPr="00C20422">
              <w:rPr>
                <w:rFonts w:ascii="Times New Roman" w:eastAsia="仿宋_GB2312" w:hAnsi="Times New Roman" w:cs="Times New Roman"/>
                <w:color w:val="000000"/>
                <w:sz w:val="24"/>
              </w:rPr>
              <w:t>上海</w:t>
            </w:r>
          </w:p>
        </w:tc>
        <w:tc>
          <w:tcPr>
            <w:tcW w:w="1105" w:type="dxa"/>
            <w:vAlign w:val="center"/>
          </w:tcPr>
          <w:p w14:paraId="3ED9B817" w14:textId="77777777" w:rsidR="00C20422" w:rsidRPr="00C20422" w:rsidRDefault="00C20422" w:rsidP="00045D73">
            <w:pPr>
              <w:jc w:val="left"/>
              <w:rPr>
                <w:rFonts w:ascii="Times New Roman" w:eastAsia="仿宋" w:hAnsi="Times New Roman" w:cs="Times New Roman"/>
                <w:sz w:val="24"/>
              </w:rPr>
            </w:pPr>
            <w:r w:rsidRPr="00C20422">
              <w:rPr>
                <w:rFonts w:ascii="Times New Roman" w:eastAsia="仿宋" w:hAnsi="Times New Roman" w:cs="Times New Roman"/>
                <w:sz w:val="24"/>
              </w:rPr>
              <w:t>中国循证儿科杂志</w:t>
            </w:r>
          </w:p>
        </w:tc>
        <w:tc>
          <w:tcPr>
            <w:tcW w:w="1134" w:type="dxa"/>
            <w:vAlign w:val="center"/>
          </w:tcPr>
          <w:p w14:paraId="41782E4F" w14:textId="77777777" w:rsidR="00C20422" w:rsidRPr="00C20422" w:rsidRDefault="00C20422" w:rsidP="00045D73">
            <w:pPr>
              <w:jc w:val="left"/>
              <w:rPr>
                <w:rFonts w:ascii="Times New Roman" w:eastAsia="仿宋" w:hAnsi="Times New Roman" w:cs="Times New Roman"/>
                <w:sz w:val="24"/>
              </w:rPr>
            </w:pPr>
            <w:r w:rsidRPr="00C20422">
              <w:rPr>
                <w:rFonts w:ascii="Times New Roman" w:eastAsia="仿宋" w:hAnsi="Times New Roman" w:cs="Times New Roman"/>
                <w:sz w:val="24"/>
              </w:rPr>
              <w:t>2021.4</w:t>
            </w:r>
          </w:p>
        </w:tc>
        <w:tc>
          <w:tcPr>
            <w:tcW w:w="1163" w:type="dxa"/>
            <w:vAlign w:val="center"/>
          </w:tcPr>
          <w:p w14:paraId="3A957261" w14:textId="66D70DE3" w:rsidR="00C20422" w:rsidRPr="00C20422" w:rsidRDefault="002E296E" w:rsidP="00045D73">
            <w:pPr>
              <w:jc w:val="left"/>
              <w:rPr>
                <w:rFonts w:ascii="Times New Roman" w:eastAsia="仿宋" w:hAnsi="Times New Roman" w:cs="Times New Roman"/>
                <w:sz w:val="24"/>
              </w:rPr>
            </w:pPr>
            <w:r>
              <w:rPr>
                <w:rFonts w:ascii="Times New Roman" w:eastAsia="仿宋" w:hAnsi="Times New Roman" w:cs="Times New Roman" w:hint="eastAsia"/>
                <w:sz w:val="24"/>
              </w:rPr>
              <w:t>/</w:t>
            </w:r>
          </w:p>
        </w:tc>
        <w:tc>
          <w:tcPr>
            <w:tcW w:w="1134" w:type="dxa"/>
            <w:vAlign w:val="center"/>
          </w:tcPr>
          <w:p w14:paraId="1251B960" w14:textId="77777777" w:rsidR="00C20422" w:rsidRPr="00C20422" w:rsidRDefault="00C20422" w:rsidP="00045D73">
            <w:pPr>
              <w:jc w:val="left"/>
              <w:rPr>
                <w:rFonts w:ascii="Times New Roman" w:eastAsia="仿宋" w:hAnsi="Times New Roman" w:cs="Times New Roman"/>
                <w:sz w:val="24"/>
              </w:rPr>
            </w:pPr>
            <w:r w:rsidRPr="00C20422">
              <w:rPr>
                <w:rFonts w:ascii="Times New Roman" w:eastAsia="仿宋" w:hAnsi="Times New Roman" w:cs="Times New Roman"/>
                <w:sz w:val="24"/>
              </w:rPr>
              <w:t>中国医师协会儿科医师分会儿童消化内镜学组</w:t>
            </w:r>
          </w:p>
        </w:tc>
        <w:tc>
          <w:tcPr>
            <w:tcW w:w="1247" w:type="dxa"/>
            <w:vAlign w:val="center"/>
          </w:tcPr>
          <w:p w14:paraId="64414BF3" w14:textId="77777777" w:rsidR="00C20422" w:rsidRPr="00C20422" w:rsidRDefault="00C20422" w:rsidP="00045D73">
            <w:pPr>
              <w:jc w:val="left"/>
              <w:rPr>
                <w:rFonts w:ascii="Times New Roman" w:eastAsia="仿宋" w:hAnsi="Times New Roman" w:cs="Times New Roman"/>
                <w:sz w:val="24"/>
              </w:rPr>
            </w:pPr>
            <w:r w:rsidRPr="00C20422">
              <w:rPr>
                <w:rFonts w:ascii="Times New Roman" w:eastAsia="仿宋" w:hAnsi="Times New Roman" w:cs="Times New Roman"/>
                <w:sz w:val="24"/>
              </w:rPr>
              <w:t>黄瑛</w:t>
            </w:r>
          </w:p>
        </w:tc>
      </w:tr>
    </w:tbl>
    <w:p w14:paraId="06957799" w14:textId="2F19E6B3" w:rsidR="00296BB2" w:rsidRDefault="00296BB2" w:rsidP="00FD7E7D">
      <w:pPr>
        <w:spacing w:line="360" w:lineRule="auto"/>
        <w:rPr>
          <w:rFonts w:ascii="宋体" w:eastAsia="宋体" w:hAnsi="宋体"/>
          <w:sz w:val="24"/>
          <w:szCs w:val="24"/>
        </w:rPr>
      </w:pPr>
    </w:p>
    <w:p w14:paraId="0FB42AC3" w14:textId="0DD92421" w:rsidR="00296BB2" w:rsidRDefault="00296BB2" w:rsidP="00FD7E7D">
      <w:pPr>
        <w:spacing w:line="360" w:lineRule="auto"/>
        <w:rPr>
          <w:rFonts w:ascii="宋体" w:eastAsia="宋体" w:hAnsi="宋体"/>
          <w:sz w:val="24"/>
          <w:szCs w:val="24"/>
        </w:rPr>
      </w:pPr>
    </w:p>
    <w:p w14:paraId="5E4BBCAF" w14:textId="1A927658" w:rsidR="00296BB2" w:rsidRDefault="00296BB2" w:rsidP="00FD7E7D">
      <w:pPr>
        <w:spacing w:line="360" w:lineRule="auto"/>
        <w:rPr>
          <w:rFonts w:ascii="宋体" w:eastAsia="宋体" w:hAnsi="宋体"/>
          <w:sz w:val="24"/>
          <w:szCs w:val="24"/>
        </w:rPr>
      </w:pPr>
    </w:p>
    <w:p w14:paraId="7FD2CF9A" w14:textId="55734BA4" w:rsidR="00296BB2" w:rsidRDefault="00296BB2" w:rsidP="00FD7E7D">
      <w:pPr>
        <w:spacing w:line="360" w:lineRule="auto"/>
        <w:rPr>
          <w:rFonts w:ascii="宋体" w:eastAsia="宋体" w:hAnsi="宋体"/>
          <w:sz w:val="24"/>
          <w:szCs w:val="24"/>
        </w:rPr>
      </w:pPr>
    </w:p>
    <w:p w14:paraId="4329C6CB" w14:textId="77777777" w:rsidR="00296BB2" w:rsidRPr="00FD7E7D" w:rsidRDefault="00296BB2" w:rsidP="00FD7E7D">
      <w:pPr>
        <w:spacing w:line="360" w:lineRule="auto"/>
        <w:rPr>
          <w:rFonts w:ascii="宋体" w:eastAsia="宋体" w:hAnsi="宋体"/>
          <w:sz w:val="24"/>
          <w:szCs w:val="24"/>
        </w:rPr>
      </w:pPr>
    </w:p>
    <w:sectPr w:rsidR="00296BB2" w:rsidRPr="00FD7E7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3888AD" w14:textId="77777777" w:rsidR="0022222B" w:rsidRDefault="0022222B" w:rsidP="00FD7E7D">
      <w:r>
        <w:separator/>
      </w:r>
    </w:p>
  </w:endnote>
  <w:endnote w:type="continuationSeparator" w:id="0">
    <w:p w14:paraId="49ADAD9D" w14:textId="77777777" w:rsidR="0022222B" w:rsidRDefault="0022222B" w:rsidP="00FD7E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_GB2312">
    <w:altName w:val="仿宋"/>
    <w:panose1 w:val="020B0604020202020204"/>
    <w:charset w:val="86"/>
    <w:family w:val="modern"/>
    <w:pitch w:val="fixed"/>
    <w:sig w:usb0="00000000"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B8B311" w14:textId="77777777" w:rsidR="0022222B" w:rsidRDefault="0022222B" w:rsidP="00FD7E7D">
      <w:r>
        <w:separator/>
      </w:r>
    </w:p>
  </w:footnote>
  <w:footnote w:type="continuationSeparator" w:id="0">
    <w:p w14:paraId="2AA5B851" w14:textId="77777777" w:rsidR="0022222B" w:rsidRDefault="0022222B" w:rsidP="00FD7E7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5"/>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0A0C"/>
    <w:rsid w:val="00065B02"/>
    <w:rsid w:val="00175991"/>
    <w:rsid w:val="001B20C4"/>
    <w:rsid w:val="002059DB"/>
    <w:rsid w:val="0022222B"/>
    <w:rsid w:val="00296BB2"/>
    <w:rsid w:val="002E296E"/>
    <w:rsid w:val="003026F1"/>
    <w:rsid w:val="00442F75"/>
    <w:rsid w:val="00485F8D"/>
    <w:rsid w:val="0052133A"/>
    <w:rsid w:val="0055589D"/>
    <w:rsid w:val="005565F9"/>
    <w:rsid w:val="00577DAD"/>
    <w:rsid w:val="005D10D5"/>
    <w:rsid w:val="00626C7F"/>
    <w:rsid w:val="00630318"/>
    <w:rsid w:val="007D3DBD"/>
    <w:rsid w:val="007E18BE"/>
    <w:rsid w:val="00820A0C"/>
    <w:rsid w:val="008920DB"/>
    <w:rsid w:val="00A028AD"/>
    <w:rsid w:val="00A24B20"/>
    <w:rsid w:val="00A6648A"/>
    <w:rsid w:val="00AA0832"/>
    <w:rsid w:val="00B2660E"/>
    <w:rsid w:val="00C20422"/>
    <w:rsid w:val="00D03E90"/>
    <w:rsid w:val="00D05731"/>
    <w:rsid w:val="00D450AA"/>
    <w:rsid w:val="00E90E13"/>
    <w:rsid w:val="00FC5B5C"/>
    <w:rsid w:val="00FD7E7D"/>
    <w:rsid w:val="00FE6A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42CD0C"/>
  <w15:chartTrackingRefBased/>
  <w15:docId w15:val="{042D14D9-3907-4ACF-99BC-BBBDB6A23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D7E7D"/>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D7E7D"/>
    <w:rPr>
      <w:sz w:val="18"/>
      <w:szCs w:val="18"/>
    </w:rPr>
  </w:style>
  <w:style w:type="paragraph" w:styleId="a5">
    <w:name w:val="footer"/>
    <w:basedOn w:val="a"/>
    <w:link w:val="a6"/>
    <w:uiPriority w:val="99"/>
    <w:unhideWhenUsed/>
    <w:rsid w:val="00FD7E7D"/>
    <w:pPr>
      <w:tabs>
        <w:tab w:val="center" w:pos="4153"/>
        <w:tab w:val="right" w:pos="8306"/>
      </w:tabs>
      <w:snapToGrid w:val="0"/>
      <w:jc w:val="left"/>
    </w:pPr>
    <w:rPr>
      <w:sz w:val="18"/>
      <w:szCs w:val="18"/>
    </w:rPr>
  </w:style>
  <w:style w:type="character" w:customStyle="1" w:styleId="a6">
    <w:name w:val="页脚 字符"/>
    <w:basedOn w:val="a0"/>
    <w:link w:val="a5"/>
    <w:uiPriority w:val="99"/>
    <w:rsid w:val="00FD7E7D"/>
    <w:rPr>
      <w:sz w:val="18"/>
      <w:szCs w:val="18"/>
    </w:rPr>
  </w:style>
  <w:style w:type="paragraph" w:styleId="a7">
    <w:name w:val="Body Text Indent"/>
    <w:basedOn w:val="a"/>
    <w:link w:val="1"/>
    <w:rsid w:val="00C20422"/>
    <w:pPr>
      <w:ind w:firstLine="660"/>
    </w:pPr>
    <w:rPr>
      <w:rFonts w:ascii="Times New Roman" w:eastAsia="仿宋_GB2312" w:hAnsi="Times New Roman" w:cs="Times New Roman"/>
      <w:sz w:val="32"/>
      <w:szCs w:val="20"/>
    </w:rPr>
  </w:style>
  <w:style w:type="character" w:customStyle="1" w:styleId="a8">
    <w:name w:val="正文文本缩进 字符"/>
    <w:basedOn w:val="a0"/>
    <w:uiPriority w:val="99"/>
    <w:semiHidden/>
    <w:rsid w:val="00C20422"/>
  </w:style>
  <w:style w:type="character" w:customStyle="1" w:styleId="1">
    <w:name w:val="正文文本缩进 字符1"/>
    <w:link w:val="a7"/>
    <w:rsid w:val="00C20422"/>
    <w:rPr>
      <w:rFonts w:ascii="Times New Roman" w:eastAsia="仿宋_GB2312" w:hAnsi="Times New Roman" w:cs="Times New Roman"/>
      <w:sz w:val="3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109</TotalTime>
  <Pages>4</Pages>
  <Words>569</Words>
  <Characters>3246</Characters>
  <Application>Microsoft Office Word</Application>
  <DocSecurity>0</DocSecurity>
  <Lines>27</Lines>
  <Paragraphs>7</Paragraphs>
  <ScaleCrop>false</ScaleCrop>
  <Company/>
  <LinksUpToDate>false</LinksUpToDate>
  <CharactersWithSpaces>3808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wanglin546974055@163.com</cp:lastModifiedBy>
  <cp:revision>48</cp:revision>
  <dcterms:created xsi:type="dcterms:W3CDTF">2024-04-15T03:57:00Z</dcterms:created>
  <dcterms:modified xsi:type="dcterms:W3CDTF">2024-04-18T04:38:00Z</dcterms:modified>
</cp:coreProperties>
</file>