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等线" w:hAnsi="等线" w:eastAsia="等线"/>
          <w:b/>
          <w:sz w:val="22"/>
          <w:szCs w:val="24"/>
        </w:rPr>
      </w:pPr>
      <w:r>
        <w:rPr>
          <w:rFonts w:hint="eastAsia" w:ascii="等线" w:hAnsi="等线" w:eastAsia="等线"/>
          <w:b/>
          <w:sz w:val="28"/>
          <w:szCs w:val="30"/>
        </w:rPr>
        <w:t>华东师范大学生命科学学院</w:t>
      </w:r>
      <w:bookmarkStart w:id="1" w:name="_GoBack"/>
      <w:bookmarkEnd w:id="1"/>
      <w:r>
        <w:rPr>
          <w:rFonts w:ascii="等线" w:hAnsi="等线" w:eastAsia="等线"/>
          <w:b/>
          <w:sz w:val="28"/>
          <w:szCs w:val="30"/>
        </w:rPr>
        <w:t>202</w:t>
      </w:r>
      <w:r>
        <w:rPr>
          <w:rFonts w:hint="eastAsia" w:ascii="等线" w:hAnsi="等线" w:eastAsia="等线"/>
          <w:b/>
          <w:sz w:val="28"/>
          <w:szCs w:val="30"/>
          <w:lang w:val="en-US" w:eastAsia="zh-CN"/>
        </w:rPr>
        <w:t>3</w:t>
      </w:r>
      <w:r>
        <w:rPr>
          <w:rFonts w:ascii="等线" w:hAnsi="等线" w:eastAsia="等线"/>
          <w:b/>
          <w:sz w:val="28"/>
          <w:szCs w:val="30"/>
        </w:rPr>
        <w:t>年</w:t>
      </w:r>
      <w:r>
        <w:rPr>
          <w:rFonts w:hint="eastAsia" w:ascii="等线" w:hAnsi="等线" w:eastAsia="等线"/>
          <w:b/>
          <w:sz w:val="28"/>
          <w:szCs w:val="30"/>
        </w:rPr>
        <w:t>研究生奖学金评定管理办法</w:t>
      </w:r>
    </w:p>
    <w:p>
      <w:pPr>
        <w:spacing w:line="360" w:lineRule="auto"/>
        <w:ind w:firstLine="480" w:firstLineChars="200"/>
        <w:rPr>
          <w:rFonts w:ascii="等线" w:hAnsi="等线" w:eastAsia="等线"/>
          <w:sz w:val="24"/>
          <w:szCs w:val="24"/>
        </w:rPr>
      </w:pPr>
    </w:p>
    <w:p>
      <w:pPr>
        <w:spacing w:line="360" w:lineRule="auto"/>
        <w:ind w:firstLine="480" w:firstLineChars="200"/>
        <w:rPr>
          <w:rFonts w:ascii="等线" w:hAnsi="等线" w:eastAsia="等线"/>
          <w:sz w:val="24"/>
          <w:szCs w:val="24"/>
        </w:rPr>
      </w:pPr>
      <w:r>
        <w:rPr>
          <w:rFonts w:hint="eastAsia" w:ascii="等线" w:hAnsi="等线" w:eastAsia="等线"/>
          <w:sz w:val="24"/>
          <w:szCs w:val="24"/>
        </w:rPr>
        <w:t>为配合学校卓越育人工作的战略部署，按照学院的整体要求，本着奖励表彰品学兼优的全日制研究生的原则，鼓励学习成绩优异、科研能力显著、发展潜力突出的优秀研究生，同时进一步完善研究生国家奖学金的评定程序，拟对学院现有的研究生奖学金评定政策进行修订，以适应“破五唯”背景下的研究生创新能力的培养。经过学院奖学金评审委员会的详细讨论，结合我院的实际情况，特制定以下办法：</w:t>
      </w:r>
    </w:p>
    <w:p>
      <w:pPr>
        <w:spacing w:line="360" w:lineRule="auto"/>
        <w:ind w:firstLine="480" w:firstLineChars="200"/>
        <w:rPr>
          <w:rFonts w:ascii="等线" w:hAnsi="等线" w:eastAsia="等线" w:cs="Segoe UI"/>
          <w:sz w:val="24"/>
          <w:szCs w:val="24"/>
        </w:rPr>
      </w:pPr>
      <w:r>
        <w:rPr>
          <w:rFonts w:hint="eastAsia" w:ascii="等线" w:hAnsi="等线" w:eastAsia="等线" w:cs="Segoe UI"/>
          <w:sz w:val="24"/>
          <w:szCs w:val="24"/>
        </w:rPr>
        <w:t>奖学金的评定成绩分为科研成果（</w:t>
      </w:r>
      <w:r>
        <w:rPr>
          <w:rFonts w:ascii="等线" w:hAnsi="等线" w:eastAsia="等线" w:cs="Segoe UI"/>
          <w:sz w:val="24"/>
          <w:szCs w:val="24"/>
        </w:rPr>
        <w:t>30</w:t>
      </w:r>
      <w:r>
        <w:rPr>
          <w:rFonts w:hint="eastAsia" w:ascii="等线" w:hAnsi="等线" w:eastAsia="等线" w:cs="Segoe UI"/>
          <w:sz w:val="24"/>
          <w:szCs w:val="24"/>
        </w:rPr>
        <w:t>分）、课程成绩（</w:t>
      </w:r>
      <w:r>
        <w:rPr>
          <w:rFonts w:ascii="等线" w:hAnsi="等线" w:eastAsia="等线" w:cs="Segoe UI"/>
          <w:sz w:val="24"/>
          <w:szCs w:val="24"/>
        </w:rPr>
        <w:t>15</w:t>
      </w:r>
      <w:r>
        <w:rPr>
          <w:rFonts w:hint="eastAsia" w:ascii="等线" w:hAnsi="等线" w:eastAsia="等线" w:cs="Segoe UI"/>
          <w:sz w:val="24"/>
          <w:szCs w:val="24"/>
        </w:rPr>
        <w:t>分）、社会活动（博士</w:t>
      </w:r>
      <w:r>
        <w:rPr>
          <w:rFonts w:ascii="等线" w:hAnsi="等线" w:eastAsia="等线" w:cs="Segoe UI"/>
          <w:sz w:val="24"/>
          <w:szCs w:val="24"/>
        </w:rPr>
        <w:t>15</w:t>
      </w:r>
      <w:r>
        <w:rPr>
          <w:rFonts w:hint="eastAsia" w:ascii="等线" w:hAnsi="等线" w:eastAsia="等线" w:cs="Segoe UI"/>
          <w:sz w:val="24"/>
          <w:szCs w:val="24"/>
        </w:rPr>
        <w:t>分、硕士2</w:t>
      </w:r>
      <w:r>
        <w:rPr>
          <w:rFonts w:ascii="等线" w:hAnsi="等线" w:eastAsia="等线" w:cs="Segoe UI"/>
          <w:sz w:val="24"/>
          <w:szCs w:val="24"/>
        </w:rPr>
        <w:t>0</w:t>
      </w:r>
      <w:r>
        <w:rPr>
          <w:rFonts w:hint="eastAsia" w:ascii="等线" w:hAnsi="等线" w:eastAsia="等线" w:cs="Segoe UI"/>
          <w:sz w:val="24"/>
          <w:szCs w:val="24"/>
        </w:rPr>
        <w:t>分）、综合表现（博士</w:t>
      </w:r>
      <w:r>
        <w:rPr>
          <w:rFonts w:ascii="等线" w:hAnsi="等线" w:eastAsia="等线" w:cs="Segoe UI"/>
          <w:sz w:val="24"/>
          <w:szCs w:val="24"/>
        </w:rPr>
        <w:t>40</w:t>
      </w:r>
      <w:r>
        <w:rPr>
          <w:rFonts w:hint="eastAsia" w:ascii="等线" w:hAnsi="等线" w:eastAsia="等线" w:cs="Segoe UI"/>
          <w:sz w:val="24"/>
          <w:szCs w:val="24"/>
        </w:rPr>
        <w:t>分、硕士3</w:t>
      </w:r>
      <w:r>
        <w:rPr>
          <w:rFonts w:ascii="等线" w:hAnsi="等线" w:eastAsia="等线" w:cs="Segoe UI"/>
          <w:sz w:val="24"/>
          <w:szCs w:val="24"/>
        </w:rPr>
        <w:t>5</w:t>
      </w:r>
      <w:r>
        <w:rPr>
          <w:rFonts w:hint="eastAsia" w:ascii="等线" w:hAnsi="等线" w:eastAsia="等线" w:cs="Segoe UI"/>
          <w:sz w:val="24"/>
          <w:szCs w:val="24"/>
        </w:rPr>
        <w:t>分）四个部分，其中科研成果、课程成绩以及社会活动的分值将根据申请人提供的材料按照以下具体细则计算后得出，科研潜力通过面试答辩，由评审委员会的专家现场打分决定。</w:t>
      </w:r>
    </w:p>
    <w:p>
      <w:pPr>
        <w:spacing w:line="360" w:lineRule="auto"/>
        <w:rPr>
          <w:rFonts w:ascii="等线" w:hAnsi="等线" w:eastAsia="等线" w:cs="Segoe UI"/>
          <w:b/>
          <w:sz w:val="24"/>
          <w:szCs w:val="24"/>
        </w:rPr>
      </w:pPr>
    </w:p>
    <w:p>
      <w:pPr>
        <w:spacing w:line="360" w:lineRule="auto"/>
        <w:rPr>
          <w:rFonts w:ascii="等线" w:hAnsi="等线" w:eastAsia="等线"/>
          <w:b/>
          <w:sz w:val="24"/>
          <w:szCs w:val="24"/>
        </w:rPr>
      </w:pPr>
      <w:r>
        <w:rPr>
          <w:rFonts w:hint="eastAsia" w:ascii="等线" w:hAnsi="等线" w:eastAsia="等线" w:cs="Segoe UI"/>
          <w:b/>
          <w:sz w:val="24"/>
          <w:szCs w:val="24"/>
        </w:rPr>
        <w:t>一、科研成果的认定及其分值计算（3</w:t>
      </w:r>
      <w:r>
        <w:rPr>
          <w:rFonts w:ascii="等线" w:hAnsi="等线" w:eastAsia="等线" w:cs="Segoe UI"/>
          <w:b/>
          <w:sz w:val="24"/>
          <w:szCs w:val="24"/>
        </w:rPr>
        <w:t>0</w:t>
      </w:r>
      <w:r>
        <w:rPr>
          <w:rFonts w:hint="eastAsia" w:ascii="等线" w:hAnsi="等线" w:eastAsia="等线" w:cs="Segoe UI"/>
          <w:b/>
          <w:sz w:val="24"/>
          <w:szCs w:val="24"/>
        </w:rPr>
        <w:t>分）</w:t>
      </w:r>
    </w:p>
    <w:p>
      <w:pPr>
        <w:spacing w:line="360" w:lineRule="auto"/>
        <w:ind w:firstLine="480" w:firstLineChars="200"/>
        <w:rPr>
          <w:rFonts w:ascii="等线" w:hAnsi="等线" w:eastAsia="等线" w:cs="Segoe UI"/>
          <w:sz w:val="24"/>
          <w:szCs w:val="24"/>
        </w:rPr>
      </w:pPr>
      <w:r>
        <w:rPr>
          <w:rFonts w:hint="eastAsia" w:ascii="等线" w:hAnsi="等线" w:eastAsia="等线" w:cs="Segoe UI"/>
          <w:sz w:val="24"/>
          <w:szCs w:val="24"/>
        </w:rPr>
        <w:t>科研成果包括科研论文（研究性论文）、专利、专著、学术活动以及科创竞赛。科研成果作者</w:t>
      </w:r>
      <w:r>
        <w:rPr>
          <w:rFonts w:hint="eastAsia" w:ascii="等线" w:hAnsi="等线" w:eastAsia="等线" w:cs="Segoe UI"/>
          <w:b/>
          <w:sz w:val="24"/>
          <w:szCs w:val="24"/>
        </w:rPr>
        <w:t>第一单位必须为华东师范大学生命科学学院</w:t>
      </w:r>
      <w:r>
        <w:rPr>
          <w:rFonts w:hint="eastAsia" w:ascii="等线" w:hAnsi="等线" w:eastAsia="等线" w:cs="Segoe UI"/>
          <w:sz w:val="24"/>
          <w:szCs w:val="24"/>
        </w:rPr>
        <w:t>。</w:t>
      </w:r>
      <w:r>
        <w:rPr>
          <w:rFonts w:ascii="等线" w:hAnsi="等线" w:eastAsia="等线" w:cs="Segoe UI"/>
          <w:sz w:val="24"/>
          <w:szCs w:val="24"/>
        </w:rPr>
        <w:t>科研成果</w:t>
      </w:r>
      <w:r>
        <w:rPr>
          <w:rFonts w:hint="eastAsia" w:ascii="等线" w:hAnsi="等线" w:eastAsia="等线" w:cs="Segoe UI"/>
          <w:sz w:val="24"/>
          <w:szCs w:val="24"/>
        </w:rPr>
        <w:t>总</w:t>
      </w:r>
      <w:r>
        <w:rPr>
          <w:rFonts w:ascii="等线" w:hAnsi="等线" w:eastAsia="等线" w:cs="Segoe UI"/>
          <w:sz w:val="24"/>
          <w:szCs w:val="24"/>
        </w:rPr>
        <w:t>分为30分。</w:t>
      </w:r>
    </w:p>
    <w:p>
      <w:pPr>
        <w:spacing w:line="360" w:lineRule="auto"/>
        <w:ind w:firstLine="480" w:firstLineChars="200"/>
        <w:rPr>
          <w:rFonts w:ascii="等线" w:hAnsi="等线" w:eastAsia="等线"/>
          <w:b/>
          <w:sz w:val="24"/>
          <w:szCs w:val="24"/>
        </w:rPr>
      </w:pPr>
      <w:r>
        <w:rPr>
          <w:rFonts w:hint="eastAsia" w:ascii="等线" w:hAnsi="等线" w:eastAsia="等线"/>
          <w:b/>
          <w:sz w:val="24"/>
          <w:szCs w:val="24"/>
        </w:rPr>
        <w:t>（一）科研论文的认定及其分值计算</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1. </w:t>
      </w:r>
      <w:r>
        <w:rPr>
          <w:rFonts w:hint="eastAsia" w:ascii="等线" w:hAnsi="等线" w:eastAsia="等线"/>
          <w:sz w:val="24"/>
          <w:szCs w:val="24"/>
        </w:rPr>
        <w:t>科研论文以已发表（含在线发表）和接受（</w:t>
      </w:r>
      <w:r>
        <w:rPr>
          <w:rFonts w:ascii="等线" w:hAnsi="等线" w:eastAsia="等线"/>
          <w:sz w:val="24"/>
          <w:szCs w:val="24"/>
        </w:rPr>
        <w:t>Accept）的SCI论文作为评定依据，非SCI期刊不作为评奖的成果</w:t>
      </w:r>
      <w:r>
        <w:rPr>
          <w:rFonts w:hint="eastAsia" w:ascii="等线" w:hAnsi="等线" w:eastAsia="等线"/>
          <w:sz w:val="24"/>
          <w:szCs w:val="24"/>
        </w:rPr>
        <w:t>（入选中国科技期刊卓越行动计划的期刊除外）。</w:t>
      </w:r>
    </w:p>
    <w:p>
      <w:pPr>
        <w:spacing w:line="360" w:lineRule="auto"/>
        <w:ind w:firstLine="480" w:firstLineChars="200"/>
        <w:rPr>
          <w:rFonts w:ascii="等线" w:hAnsi="等线" w:eastAsia="等线"/>
          <w:sz w:val="24"/>
          <w:szCs w:val="24"/>
        </w:rPr>
      </w:pPr>
      <w:r>
        <w:rPr>
          <w:rFonts w:hint="eastAsia" w:ascii="等线" w:hAnsi="等线" w:eastAsia="等线"/>
          <w:sz w:val="24"/>
          <w:szCs w:val="24"/>
        </w:rPr>
        <w:t>2</w:t>
      </w:r>
      <w:r>
        <w:rPr>
          <w:rFonts w:ascii="等线" w:hAnsi="等线" w:eastAsia="等线"/>
          <w:sz w:val="24"/>
          <w:szCs w:val="24"/>
        </w:rPr>
        <w:t xml:space="preserve">. </w:t>
      </w:r>
      <w:r>
        <w:rPr>
          <w:rFonts w:hint="eastAsia" w:ascii="等线" w:hAnsi="等线" w:eastAsia="等线"/>
          <w:sz w:val="24"/>
          <w:szCs w:val="24"/>
        </w:rPr>
        <w:t>学生提交其发表的所有科研论文，并确定其代表作（代表作需排序）；为鼓励学生发高质量科研论文，避免发表大量低层次论文，科研论文的分值只计算代表作，且硕士</w:t>
      </w:r>
      <w:r>
        <w:rPr>
          <w:rFonts w:ascii="等线" w:hAnsi="等线" w:eastAsia="等线"/>
          <w:sz w:val="24"/>
          <w:szCs w:val="24"/>
        </w:rPr>
        <w:t>研究生</w:t>
      </w:r>
      <w:r>
        <w:rPr>
          <w:rFonts w:hint="eastAsia" w:ascii="等线" w:hAnsi="等线" w:eastAsia="等线"/>
          <w:sz w:val="24"/>
          <w:szCs w:val="24"/>
        </w:rPr>
        <w:t>代表作数量不超过</w:t>
      </w:r>
      <w:r>
        <w:rPr>
          <w:rFonts w:ascii="等线" w:hAnsi="等线" w:eastAsia="等线"/>
          <w:sz w:val="24"/>
          <w:szCs w:val="24"/>
        </w:rPr>
        <w:t>2</w:t>
      </w:r>
      <w:r>
        <w:rPr>
          <w:rFonts w:hint="eastAsia" w:ascii="等线" w:hAnsi="等线" w:eastAsia="等线"/>
          <w:sz w:val="24"/>
          <w:szCs w:val="24"/>
        </w:rPr>
        <w:t>篇（含</w:t>
      </w:r>
      <w:r>
        <w:rPr>
          <w:rFonts w:ascii="等线" w:hAnsi="等线" w:eastAsia="等线"/>
          <w:sz w:val="24"/>
          <w:szCs w:val="24"/>
        </w:rPr>
        <w:t>2</w:t>
      </w:r>
      <w:r>
        <w:rPr>
          <w:rFonts w:hint="eastAsia" w:ascii="等线" w:hAnsi="等线" w:eastAsia="等线"/>
          <w:sz w:val="24"/>
          <w:szCs w:val="24"/>
        </w:rPr>
        <w:t>篇），博士</w:t>
      </w:r>
      <w:r>
        <w:rPr>
          <w:rFonts w:ascii="等线" w:hAnsi="等线" w:eastAsia="等线"/>
          <w:sz w:val="24"/>
          <w:szCs w:val="24"/>
        </w:rPr>
        <w:t>研究生代表作数量不超过3篇（</w:t>
      </w:r>
      <w:r>
        <w:rPr>
          <w:rFonts w:hint="eastAsia" w:ascii="等线" w:hAnsi="等线" w:eastAsia="等线"/>
          <w:sz w:val="24"/>
          <w:szCs w:val="24"/>
        </w:rPr>
        <w:t>含</w:t>
      </w:r>
      <w:r>
        <w:rPr>
          <w:rFonts w:ascii="等线" w:hAnsi="等线" w:eastAsia="等线"/>
          <w:sz w:val="24"/>
          <w:szCs w:val="24"/>
        </w:rPr>
        <w:t>3篇）</w:t>
      </w:r>
      <w:r>
        <w:rPr>
          <w:rFonts w:hint="eastAsia" w:ascii="等线" w:hAnsi="等线" w:eastAsia="等线"/>
          <w:sz w:val="24"/>
          <w:szCs w:val="24"/>
        </w:rPr>
        <w:t>，其余论文只作为参考。</w:t>
      </w:r>
    </w:p>
    <w:p>
      <w:pPr>
        <w:spacing w:line="360" w:lineRule="auto"/>
        <w:ind w:firstLine="480" w:firstLineChars="200"/>
        <w:rPr>
          <w:rFonts w:ascii="等线" w:hAnsi="等线" w:eastAsia="等线"/>
          <w:sz w:val="24"/>
          <w:szCs w:val="24"/>
        </w:rPr>
      </w:pPr>
      <w:r>
        <w:rPr>
          <w:rFonts w:hint="eastAsia" w:ascii="等线" w:hAnsi="等线" w:eastAsia="等线"/>
          <w:sz w:val="24"/>
          <w:szCs w:val="24"/>
        </w:rPr>
        <w:t>3</w:t>
      </w:r>
      <w:r>
        <w:rPr>
          <w:rFonts w:ascii="等线" w:hAnsi="等线" w:eastAsia="等线"/>
          <w:sz w:val="24"/>
          <w:szCs w:val="24"/>
        </w:rPr>
        <w:t xml:space="preserve">. </w:t>
      </w:r>
      <w:r>
        <w:rPr>
          <w:rFonts w:hint="eastAsia" w:ascii="等线" w:hAnsi="等线" w:eastAsia="等线"/>
          <w:sz w:val="24"/>
          <w:szCs w:val="24"/>
        </w:rPr>
        <w:t>科研</w:t>
      </w:r>
      <w:r>
        <w:rPr>
          <w:rFonts w:ascii="等线" w:hAnsi="等线" w:eastAsia="等线"/>
          <w:sz w:val="24"/>
          <w:szCs w:val="24"/>
        </w:rPr>
        <w:t>论文以分区的分值作为计算依据，不考虑具体影响因子。</w:t>
      </w:r>
      <w:r>
        <w:rPr>
          <w:rFonts w:hint="eastAsia" w:ascii="等线" w:hAnsi="等线" w:eastAsia="等线"/>
          <w:sz w:val="24"/>
          <w:szCs w:val="24"/>
        </w:rPr>
        <w:t>为避免学科差异，科研论文分区以中科院最新的论文分区为依据，对</w:t>
      </w:r>
      <w:r>
        <w:rPr>
          <w:rFonts w:ascii="等线" w:hAnsi="等线" w:eastAsia="等线"/>
          <w:sz w:val="24"/>
          <w:szCs w:val="24"/>
        </w:rPr>
        <w:t>同一期刊在</w:t>
      </w:r>
      <w:r>
        <w:rPr>
          <w:rFonts w:hint="eastAsia" w:ascii="等线" w:hAnsi="等线" w:eastAsia="等线"/>
          <w:sz w:val="24"/>
          <w:szCs w:val="24"/>
        </w:rPr>
        <w:t>大类、</w:t>
      </w:r>
      <w:r>
        <w:rPr>
          <w:rFonts w:ascii="等线" w:hAnsi="等线" w:eastAsia="等线"/>
          <w:sz w:val="24"/>
          <w:szCs w:val="24"/>
        </w:rPr>
        <w:t>小类</w:t>
      </w:r>
      <w:r>
        <w:rPr>
          <w:rFonts w:hint="eastAsia" w:ascii="等线" w:hAnsi="等线" w:eastAsia="等线"/>
          <w:sz w:val="24"/>
          <w:szCs w:val="24"/>
        </w:rPr>
        <w:t>以及不同版本中的分区差别，</w:t>
      </w:r>
      <w:r>
        <w:rPr>
          <w:rFonts w:ascii="等线" w:hAnsi="等线" w:eastAsia="等线"/>
          <w:sz w:val="24"/>
          <w:szCs w:val="24"/>
        </w:rPr>
        <w:t>按</w:t>
      </w:r>
      <w:r>
        <w:rPr>
          <w:rFonts w:hint="eastAsia" w:ascii="等线" w:hAnsi="等线" w:eastAsia="等线"/>
          <w:b/>
          <w:sz w:val="24"/>
          <w:szCs w:val="24"/>
        </w:rPr>
        <w:t>“就高不就低”</w:t>
      </w:r>
      <w:r>
        <w:rPr>
          <w:rFonts w:hint="eastAsia" w:ascii="等线" w:hAnsi="等线" w:eastAsia="等线"/>
          <w:sz w:val="24"/>
          <w:szCs w:val="24"/>
        </w:rPr>
        <w:t>的原则判定分区。</w:t>
      </w:r>
    </w:p>
    <w:p>
      <w:pPr>
        <w:spacing w:line="360" w:lineRule="auto"/>
        <w:ind w:firstLine="480" w:firstLineChars="200"/>
        <w:rPr>
          <w:rFonts w:ascii="等线" w:hAnsi="等线" w:eastAsia="等线"/>
          <w:sz w:val="24"/>
          <w:szCs w:val="24"/>
        </w:rPr>
      </w:pPr>
      <w:r>
        <w:rPr>
          <w:rFonts w:hint="eastAsia" w:ascii="等线" w:hAnsi="等线" w:eastAsia="等线"/>
          <w:sz w:val="24"/>
          <w:szCs w:val="24"/>
        </w:rPr>
        <w:t>各分区的分值计算标准如下：</w:t>
      </w:r>
      <w:r>
        <w:rPr>
          <w:rFonts w:ascii="等线" w:hAnsi="等线" w:eastAsia="等线"/>
          <w:i/>
          <w:sz w:val="24"/>
          <w:szCs w:val="24"/>
        </w:rPr>
        <w:t>Science</w:t>
      </w:r>
      <w:r>
        <w:rPr>
          <w:rFonts w:ascii="等线" w:hAnsi="等线" w:eastAsia="等线"/>
          <w:sz w:val="24"/>
          <w:szCs w:val="24"/>
        </w:rPr>
        <w:t>、</w:t>
      </w:r>
      <w:r>
        <w:rPr>
          <w:rFonts w:ascii="等线" w:hAnsi="等线" w:eastAsia="等线"/>
          <w:i/>
          <w:sz w:val="24"/>
          <w:szCs w:val="24"/>
        </w:rPr>
        <w:t>Nature</w:t>
      </w:r>
      <w:r>
        <w:rPr>
          <w:rFonts w:ascii="等线" w:hAnsi="等线" w:eastAsia="等线"/>
          <w:sz w:val="24"/>
          <w:szCs w:val="24"/>
        </w:rPr>
        <w:t>、</w:t>
      </w:r>
      <w:r>
        <w:rPr>
          <w:rFonts w:ascii="等线" w:hAnsi="等线" w:eastAsia="等线"/>
          <w:i/>
          <w:sz w:val="24"/>
          <w:szCs w:val="24"/>
        </w:rPr>
        <w:t>Cell</w:t>
      </w:r>
      <w:r>
        <w:rPr>
          <w:rFonts w:ascii="等线" w:hAnsi="等线" w:eastAsia="等线"/>
          <w:sz w:val="24"/>
          <w:szCs w:val="24"/>
        </w:rPr>
        <w:t>正刊</w:t>
      </w:r>
      <w:r>
        <w:rPr>
          <w:rFonts w:hint="eastAsia" w:ascii="等线" w:hAnsi="等线" w:eastAsia="等线"/>
          <w:sz w:val="24"/>
          <w:szCs w:val="24"/>
        </w:rPr>
        <w:t>以及</w:t>
      </w:r>
      <w:r>
        <w:rPr>
          <w:rFonts w:ascii="等线" w:hAnsi="等线" w:eastAsia="等线"/>
          <w:i/>
          <w:sz w:val="24"/>
          <w:szCs w:val="24"/>
        </w:rPr>
        <w:t>NEJM</w:t>
      </w:r>
      <w:r>
        <w:rPr>
          <w:rFonts w:ascii="等线" w:hAnsi="等线" w:eastAsia="等线"/>
          <w:sz w:val="24"/>
          <w:szCs w:val="24"/>
        </w:rPr>
        <w:t>分值为30分</w:t>
      </w:r>
      <w:r>
        <w:rPr>
          <w:rFonts w:hint="eastAsia" w:ascii="等线" w:hAnsi="等线" w:eastAsia="等线"/>
          <w:sz w:val="24"/>
          <w:szCs w:val="24"/>
        </w:rPr>
        <w:t>；</w:t>
      </w:r>
      <w:r>
        <w:rPr>
          <w:rFonts w:hint="eastAsia" w:ascii="等线" w:hAnsi="等线" w:eastAsia="等线"/>
          <w:kern w:val="0"/>
          <w:sz w:val="24"/>
          <w:szCs w:val="24"/>
        </w:rPr>
        <w:t>影响因子大于等于20以上科研论文为20分；</w:t>
      </w:r>
      <w:r>
        <w:rPr>
          <w:rFonts w:ascii="等线" w:hAnsi="等线" w:eastAsia="等线"/>
          <w:i/>
          <w:sz w:val="24"/>
          <w:szCs w:val="24"/>
        </w:rPr>
        <w:t>PNAS</w:t>
      </w:r>
      <w:r>
        <w:rPr>
          <w:rFonts w:hint="eastAsia" w:ascii="等线" w:hAnsi="等线" w:eastAsia="等线"/>
          <w:sz w:val="24"/>
          <w:szCs w:val="24"/>
        </w:rPr>
        <w:t>、</w:t>
      </w:r>
      <w:r>
        <w:rPr>
          <w:rFonts w:ascii="等线" w:hAnsi="等线" w:eastAsia="等线"/>
          <w:i/>
          <w:sz w:val="24"/>
          <w:szCs w:val="24"/>
        </w:rPr>
        <w:t>Nature</w:t>
      </w:r>
      <w:r>
        <w:rPr>
          <w:rFonts w:ascii="等线" w:hAnsi="等线" w:eastAsia="等线"/>
          <w:sz w:val="24"/>
          <w:szCs w:val="24"/>
        </w:rPr>
        <w:t>、</w:t>
      </w:r>
      <w:r>
        <w:rPr>
          <w:rFonts w:ascii="等线" w:hAnsi="等线" w:eastAsia="等线"/>
          <w:i/>
          <w:sz w:val="24"/>
          <w:szCs w:val="24"/>
        </w:rPr>
        <w:t>Science</w:t>
      </w:r>
      <w:r>
        <w:rPr>
          <w:rFonts w:ascii="等线" w:hAnsi="等线" w:eastAsia="等线"/>
          <w:sz w:val="24"/>
          <w:szCs w:val="24"/>
        </w:rPr>
        <w:t>、</w:t>
      </w:r>
      <w:r>
        <w:rPr>
          <w:rFonts w:ascii="等线" w:hAnsi="等线" w:eastAsia="等线"/>
          <w:i/>
          <w:sz w:val="24"/>
          <w:szCs w:val="24"/>
        </w:rPr>
        <w:t>Cell</w:t>
      </w:r>
      <w:r>
        <w:rPr>
          <w:rFonts w:ascii="等线" w:hAnsi="等线" w:eastAsia="等线"/>
          <w:sz w:val="24"/>
          <w:szCs w:val="24"/>
        </w:rPr>
        <w:t>子系列</w:t>
      </w:r>
      <w:r>
        <w:rPr>
          <w:rFonts w:hint="eastAsia" w:ascii="等线" w:hAnsi="等线" w:eastAsia="等线"/>
          <w:sz w:val="24"/>
          <w:szCs w:val="24"/>
        </w:rPr>
        <w:t>以及影响因子大于1</w:t>
      </w:r>
      <w:r>
        <w:rPr>
          <w:rFonts w:ascii="等线" w:hAnsi="等线" w:eastAsia="等线"/>
          <w:sz w:val="24"/>
          <w:szCs w:val="24"/>
        </w:rPr>
        <w:t>0</w:t>
      </w:r>
      <w:r>
        <w:rPr>
          <w:rFonts w:hint="eastAsia" w:ascii="等线" w:hAnsi="等线" w:eastAsia="等线"/>
          <w:sz w:val="24"/>
          <w:szCs w:val="24"/>
        </w:rPr>
        <w:t>的论文</w:t>
      </w:r>
      <w:r>
        <w:rPr>
          <w:rFonts w:ascii="等线" w:hAnsi="等线" w:eastAsia="等线"/>
          <w:sz w:val="24"/>
          <w:szCs w:val="24"/>
        </w:rPr>
        <w:t>为15分；一区论文分值为10分；二区论文分值为7分；</w:t>
      </w:r>
      <w:r>
        <w:rPr>
          <w:rFonts w:hint="eastAsia" w:ascii="等线" w:hAnsi="等线" w:eastAsia="等线"/>
          <w:sz w:val="24"/>
          <w:szCs w:val="24"/>
        </w:rPr>
        <w:t>三区论文分值为</w:t>
      </w:r>
      <w:r>
        <w:rPr>
          <w:rFonts w:ascii="等线" w:hAnsi="等线" w:eastAsia="等线"/>
          <w:sz w:val="24"/>
          <w:szCs w:val="24"/>
        </w:rPr>
        <w:t>4分</w:t>
      </w:r>
      <w:r>
        <w:rPr>
          <w:rFonts w:hint="eastAsia" w:ascii="等线" w:hAnsi="等线" w:eastAsia="等线"/>
          <w:sz w:val="24"/>
          <w:szCs w:val="24"/>
        </w:rPr>
        <w:t>；四区及以下包括中文卓越期刊2分</w:t>
      </w:r>
      <w:r>
        <w:rPr>
          <w:rFonts w:ascii="等线" w:hAnsi="等线" w:eastAsia="等线"/>
          <w:sz w:val="24"/>
          <w:szCs w:val="24"/>
        </w:rPr>
        <w:t>。</w:t>
      </w:r>
    </w:p>
    <w:p>
      <w:pPr>
        <w:pStyle w:val="13"/>
        <w:ind w:firstLine="480"/>
        <w:rPr>
          <w:rFonts w:ascii="等线" w:hAnsi="等线" w:eastAsia="等线"/>
          <w:sz w:val="24"/>
          <w:szCs w:val="24"/>
        </w:rPr>
      </w:pPr>
      <w:r>
        <w:rPr>
          <w:rFonts w:hint="eastAsia" w:ascii="等线" w:hAnsi="等线" w:eastAsia="等线"/>
          <w:sz w:val="24"/>
          <w:szCs w:val="24"/>
        </w:rPr>
        <w:t>为鼓励课题组内成员合作发表高质量论文，同一篇论文可以多人使用，每篇论文可计算分数的作者</w:t>
      </w:r>
      <w:r>
        <w:rPr>
          <w:rFonts w:ascii="等线" w:hAnsi="等线" w:eastAsia="等线"/>
          <w:sz w:val="24"/>
          <w:szCs w:val="24"/>
        </w:rPr>
        <w:t>最多不超过3</w:t>
      </w:r>
      <w:r>
        <w:rPr>
          <w:rFonts w:hint="eastAsia" w:ascii="等线" w:hAnsi="等线" w:eastAsia="等线"/>
          <w:sz w:val="24"/>
          <w:szCs w:val="24"/>
        </w:rPr>
        <w:t>名</w:t>
      </w:r>
      <w:r>
        <w:rPr>
          <w:rFonts w:ascii="等线" w:hAnsi="等线" w:eastAsia="等线"/>
          <w:sz w:val="24"/>
          <w:szCs w:val="24"/>
        </w:rPr>
        <w:t>，</w:t>
      </w:r>
      <w:r>
        <w:rPr>
          <w:rFonts w:hint="eastAsia" w:ascii="等线" w:hAnsi="等线" w:eastAsia="等线"/>
          <w:sz w:val="24"/>
          <w:szCs w:val="24"/>
        </w:rPr>
        <w:t>按照论文中作者排列的顺序</w:t>
      </w:r>
      <w:r>
        <w:rPr>
          <w:rFonts w:ascii="等线" w:hAnsi="等线" w:eastAsia="等线"/>
          <w:sz w:val="24"/>
          <w:szCs w:val="24"/>
        </w:rPr>
        <w:t>系数</w:t>
      </w:r>
      <w:r>
        <w:rPr>
          <w:rFonts w:hint="eastAsia" w:ascii="等线" w:hAnsi="等线" w:eastAsia="等线"/>
          <w:sz w:val="24"/>
          <w:szCs w:val="24"/>
        </w:rPr>
        <w:t>分别为</w:t>
      </w:r>
      <w:r>
        <w:rPr>
          <w:rFonts w:ascii="等线" w:hAnsi="等线" w:eastAsia="等线"/>
          <w:sz w:val="24"/>
          <w:szCs w:val="24"/>
        </w:rPr>
        <w:t>1</w:t>
      </w:r>
      <w:r>
        <w:rPr>
          <w:rFonts w:hint="eastAsia" w:ascii="等线" w:hAnsi="等线" w:eastAsia="等线"/>
          <w:sz w:val="24"/>
          <w:szCs w:val="24"/>
        </w:rPr>
        <w:t>、</w:t>
      </w:r>
      <w:r>
        <w:rPr>
          <w:rFonts w:ascii="等线" w:hAnsi="等线" w:eastAsia="等线"/>
          <w:sz w:val="24"/>
          <w:szCs w:val="24"/>
        </w:rPr>
        <w:t>0.5和0.2</w:t>
      </w:r>
      <w:r>
        <w:rPr>
          <w:rFonts w:hint="eastAsia" w:ascii="等线" w:hAnsi="等线" w:eastAsia="等线"/>
          <w:sz w:val="24"/>
          <w:szCs w:val="24"/>
        </w:rPr>
        <w:t>（不考虑并列作者的因素）</w:t>
      </w:r>
      <w:r>
        <w:rPr>
          <w:rFonts w:ascii="等线" w:hAnsi="等线" w:eastAsia="等线"/>
          <w:sz w:val="24"/>
          <w:szCs w:val="24"/>
        </w:rPr>
        <w:t>。</w:t>
      </w:r>
    </w:p>
    <w:p>
      <w:pPr>
        <w:ind w:firstLine="480" w:firstLineChars="200"/>
        <w:rPr>
          <w:rFonts w:ascii="等线" w:hAnsi="等线" w:eastAsia="等线"/>
          <w:sz w:val="24"/>
          <w:szCs w:val="24"/>
        </w:rPr>
      </w:pPr>
      <w:r>
        <w:rPr>
          <w:rFonts w:hint="eastAsia" w:ascii="等线" w:hAnsi="等线" w:eastAsia="等线"/>
          <w:b/>
          <w:sz w:val="24"/>
          <w:szCs w:val="24"/>
        </w:rPr>
        <w:t>（二）专利的认定及其分值计算</w:t>
      </w:r>
    </w:p>
    <w:p>
      <w:pPr>
        <w:pStyle w:val="13"/>
        <w:spacing w:line="360" w:lineRule="auto"/>
        <w:ind w:left="324" w:firstLine="480"/>
        <w:rPr>
          <w:rFonts w:ascii="等线" w:hAnsi="等线" w:eastAsia="等线"/>
          <w:sz w:val="24"/>
          <w:szCs w:val="24"/>
        </w:rPr>
      </w:pPr>
      <w:r>
        <w:rPr>
          <w:rFonts w:ascii="等线" w:hAnsi="等线" w:eastAsia="等线"/>
          <w:sz w:val="24"/>
          <w:szCs w:val="24"/>
        </w:rPr>
        <w:t xml:space="preserve">1. </w:t>
      </w:r>
      <w:r>
        <w:rPr>
          <w:rFonts w:hint="eastAsia" w:ascii="等线" w:hAnsi="等线" w:eastAsia="等线"/>
          <w:sz w:val="24"/>
          <w:szCs w:val="24"/>
        </w:rPr>
        <w:t>国际授权专利分值为</w:t>
      </w:r>
      <w:r>
        <w:rPr>
          <w:rFonts w:ascii="等线" w:hAnsi="等线" w:eastAsia="等线"/>
          <w:sz w:val="24"/>
          <w:szCs w:val="24"/>
        </w:rPr>
        <w:t>5分；国内授权专利分值为2</w:t>
      </w:r>
      <w:r>
        <w:rPr>
          <w:rFonts w:hint="eastAsia" w:ascii="等线" w:hAnsi="等线" w:eastAsia="等线"/>
          <w:sz w:val="24"/>
          <w:szCs w:val="24"/>
        </w:rPr>
        <w:t>分</w:t>
      </w:r>
      <w:r>
        <w:rPr>
          <w:rFonts w:ascii="等线" w:hAnsi="等线" w:eastAsia="等线"/>
          <w:sz w:val="24"/>
          <w:szCs w:val="24"/>
        </w:rPr>
        <w:t>；</w:t>
      </w:r>
      <w:r>
        <w:rPr>
          <w:rFonts w:hint="eastAsia" w:ascii="等线" w:hAnsi="等线" w:eastAsia="等线"/>
          <w:sz w:val="24"/>
          <w:szCs w:val="24"/>
        </w:rPr>
        <w:t>成功转让的专利按照转让的金额由奖学金评审委员会确定分值（不超过5分）。</w:t>
      </w:r>
    </w:p>
    <w:p>
      <w:pPr>
        <w:pStyle w:val="13"/>
        <w:spacing w:line="360" w:lineRule="auto"/>
        <w:ind w:left="324" w:firstLine="480"/>
        <w:rPr>
          <w:rFonts w:ascii="等线" w:hAnsi="等线" w:eastAsia="等线"/>
          <w:sz w:val="24"/>
          <w:szCs w:val="24"/>
        </w:rPr>
      </w:pPr>
      <w:r>
        <w:rPr>
          <w:rFonts w:ascii="等线" w:hAnsi="等线" w:eastAsia="等线"/>
          <w:sz w:val="24"/>
          <w:szCs w:val="24"/>
        </w:rPr>
        <w:t xml:space="preserve">2. </w:t>
      </w:r>
      <w:r>
        <w:rPr>
          <w:rFonts w:hint="eastAsia" w:ascii="等线" w:hAnsi="等线" w:eastAsia="等线"/>
          <w:sz w:val="24"/>
          <w:szCs w:val="24"/>
        </w:rPr>
        <w:t>发明人排名仅考虑前三名，第一发明人系数为</w:t>
      </w:r>
      <w:r>
        <w:rPr>
          <w:rFonts w:ascii="等线" w:hAnsi="等线" w:eastAsia="等线"/>
          <w:sz w:val="24"/>
          <w:szCs w:val="24"/>
        </w:rPr>
        <w:t>1</w:t>
      </w:r>
      <w:r>
        <w:rPr>
          <w:rFonts w:hint="eastAsia" w:ascii="等线" w:hAnsi="等线" w:eastAsia="等线"/>
          <w:sz w:val="24"/>
          <w:szCs w:val="24"/>
        </w:rPr>
        <w:t>，</w:t>
      </w:r>
      <w:r>
        <w:rPr>
          <w:rFonts w:ascii="等线" w:hAnsi="等线" w:eastAsia="等线"/>
          <w:sz w:val="24"/>
          <w:szCs w:val="24"/>
        </w:rPr>
        <w:t>第二发明人系数为0.5</w:t>
      </w:r>
      <w:r>
        <w:rPr>
          <w:rFonts w:hint="eastAsia" w:ascii="等线" w:hAnsi="等线" w:eastAsia="等线"/>
          <w:sz w:val="24"/>
          <w:szCs w:val="24"/>
        </w:rPr>
        <w:t>，第三发明人系数</w:t>
      </w:r>
      <w:r>
        <w:rPr>
          <w:rFonts w:ascii="等线" w:hAnsi="等线" w:eastAsia="等线"/>
          <w:sz w:val="24"/>
          <w:szCs w:val="24"/>
        </w:rPr>
        <w:t>为0.2。</w:t>
      </w:r>
    </w:p>
    <w:p>
      <w:pPr>
        <w:spacing w:line="360" w:lineRule="auto"/>
        <w:ind w:firstLine="480" w:firstLineChars="200"/>
        <w:rPr>
          <w:rFonts w:ascii="等线" w:hAnsi="等线" w:eastAsia="等线"/>
          <w:b/>
          <w:sz w:val="24"/>
          <w:szCs w:val="24"/>
        </w:rPr>
      </w:pPr>
      <w:r>
        <w:rPr>
          <w:rFonts w:hint="eastAsia" w:ascii="等线" w:hAnsi="等线" w:eastAsia="等线"/>
          <w:b/>
          <w:sz w:val="24"/>
          <w:szCs w:val="24"/>
        </w:rPr>
        <w:t>（三）专著的认定及其分值计算</w:t>
      </w:r>
    </w:p>
    <w:p>
      <w:pPr>
        <w:pStyle w:val="13"/>
        <w:spacing w:line="360" w:lineRule="auto"/>
        <w:ind w:left="359" w:leftChars="171" w:firstLine="480"/>
        <w:rPr>
          <w:rFonts w:ascii="等线" w:hAnsi="等线" w:eastAsia="等线"/>
          <w:sz w:val="24"/>
          <w:szCs w:val="24"/>
        </w:rPr>
      </w:pPr>
      <w:r>
        <w:rPr>
          <w:rFonts w:hint="eastAsia" w:ascii="等线" w:hAnsi="等线" w:eastAsia="等线"/>
          <w:sz w:val="24"/>
          <w:szCs w:val="24"/>
        </w:rPr>
        <w:t>主编的原始科研性专著按照1区论文的计分标准计算，</w:t>
      </w:r>
      <w:r>
        <w:rPr>
          <w:rFonts w:ascii="等线" w:hAnsi="等线" w:eastAsia="等线"/>
          <w:sz w:val="24"/>
          <w:szCs w:val="24"/>
        </w:rPr>
        <w:t>参编的专著仅作为参考</w:t>
      </w:r>
      <w:r>
        <w:rPr>
          <w:rFonts w:hint="eastAsia" w:ascii="等线" w:hAnsi="等线" w:eastAsia="等线"/>
          <w:sz w:val="24"/>
          <w:szCs w:val="24"/>
        </w:rPr>
        <w:t>，</w:t>
      </w:r>
      <w:r>
        <w:rPr>
          <w:rFonts w:ascii="等线" w:hAnsi="等线" w:eastAsia="等线"/>
          <w:sz w:val="24"/>
          <w:szCs w:val="24"/>
        </w:rPr>
        <w:t>不</w:t>
      </w:r>
      <w:r>
        <w:rPr>
          <w:rFonts w:hint="eastAsia" w:ascii="等线" w:hAnsi="等线" w:eastAsia="等线"/>
          <w:sz w:val="24"/>
          <w:szCs w:val="24"/>
        </w:rPr>
        <w:t>计算</w:t>
      </w:r>
      <w:r>
        <w:rPr>
          <w:rFonts w:ascii="等线" w:hAnsi="等线" w:eastAsia="等线"/>
          <w:sz w:val="24"/>
          <w:szCs w:val="24"/>
        </w:rPr>
        <w:t>分值。</w:t>
      </w:r>
    </w:p>
    <w:p>
      <w:pPr>
        <w:spacing w:line="360" w:lineRule="auto"/>
        <w:ind w:firstLine="480" w:firstLineChars="200"/>
        <w:rPr>
          <w:rFonts w:ascii="等线" w:hAnsi="等线" w:eastAsia="等线"/>
          <w:b/>
          <w:sz w:val="24"/>
          <w:szCs w:val="24"/>
        </w:rPr>
      </w:pPr>
      <w:r>
        <w:rPr>
          <w:rFonts w:hint="eastAsia" w:ascii="等线" w:hAnsi="等线" w:eastAsia="等线"/>
          <w:b/>
          <w:sz w:val="24"/>
          <w:szCs w:val="24"/>
        </w:rPr>
        <w:t>（四）多篇</w:t>
      </w:r>
      <w:r>
        <w:rPr>
          <w:rFonts w:ascii="等线" w:hAnsi="等线" w:eastAsia="等线"/>
          <w:b/>
          <w:sz w:val="24"/>
          <w:szCs w:val="24"/>
        </w:rPr>
        <w:t>论文</w:t>
      </w:r>
      <w:r>
        <w:rPr>
          <w:rFonts w:hint="eastAsia" w:ascii="等线" w:hAnsi="等线" w:eastAsia="等线"/>
          <w:b/>
          <w:sz w:val="24"/>
          <w:szCs w:val="24"/>
        </w:rPr>
        <w:t>分值</w:t>
      </w:r>
      <w:r>
        <w:rPr>
          <w:rFonts w:ascii="等线" w:hAnsi="等线" w:eastAsia="等线"/>
          <w:b/>
          <w:sz w:val="24"/>
          <w:szCs w:val="24"/>
        </w:rPr>
        <w:t>的计算方式：</w:t>
      </w:r>
      <w:r>
        <w:rPr>
          <w:rFonts w:hint="eastAsia" w:ascii="等线" w:hAnsi="等线" w:eastAsia="等线"/>
          <w:b/>
          <w:sz w:val="24"/>
          <w:szCs w:val="24"/>
        </w:rPr>
        <w:t>（鼓励</w:t>
      </w:r>
      <w:r>
        <w:rPr>
          <w:rFonts w:ascii="等线" w:hAnsi="等线" w:eastAsia="等线"/>
          <w:b/>
          <w:sz w:val="24"/>
          <w:szCs w:val="24"/>
        </w:rPr>
        <w:t>发高质量论文</w:t>
      </w:r>
      <w:r>
        <w:rPr>
          <w:rFonts w:hint="eastAsia" w:ascii="等线" w:hAnsi="等线" w:eastAsia="等线"/>
          <w:b/>
          <w:sz w:val="24"/>
          <w:szCs w:val="24"/>
        </w:rPr>
        <w:t>）</w:t>
      </w:r>
    </w:p>
    <w:p>
      <w:pPr>
        <w:spacing w:line="360" w:lineRule="auto"/>
        <w:ind w:left="360" w:firstLine="480" w:firstLineChars="200"/>
        <w:rPr>
          <w:rFonts w:ascii="等线" w:hAnsi="等线" w:eastAsia="等线"/>
          <w:sz w:val="24"/>
          <w:szCs w:val="24"/>
        </w:rPr>
      </w:pPr>
      <w:r>
        <w:rPr>
          <w:rFonts w:hint="eastAsia" w:ascii="等线" w:hAnsi="等线" w:eastAsia="等线"/>
          <w:sz w:val="24"/>
          <w:szCs w:val="24"/>
        </w:rPr>
        <w:t>将</w:t>
      </w:r>
      <w:r>
        <w:rPr>
          <w:rFonts w:ascii="等线" w:hAnsi="等线" w:eastAsia="等线"/>
          <w:sz w:val="24"/>
          <w:szCs w:val="24"/>
        </w:rPr>
        <w:t>学生</w:t>
      </w:r>
      <w:r>
        <w:rPr>
          <w:rFonts w:hint="eastAsia" w:ascii="等线" w:hAnsi="等线" w:eastAsia="等线"/>
          <w:sz w:val="24"/>
          <w:szCs w:val="24"/>
        </w:rPr>
        <w:t>分区最高</w:t>
      </w:r>
      <w:r>
        <w:rPr>
          <w:rFonts w:ascii="等线" w:hAnsi="等线" w:eastAsia="等线"/>
          <w:sz w:val="24"/>
          <w:szCs w:val="24"/>
        </w:rPr>
        <w:t>的论文作为</w:t>
      </w:r>
      <w:r>
        <w:rPr>
          <w:rFonts w:hint="eastAsia" w:ascii="等线" w:hAnsi="等线" w:eastAsia="等线"/>
          <w:sz w:val="24"/>
          <w:szCs w:val="24"/>
        </w:rPr>
        <w:t>第一篇论文（由</w:t>
      </w:r>
      <w:r>
        <w:rPr>
          <w:rFonts w:ascii="等线" w:hAnsi="等线" w:eastAsia="等线"/>
          <w:sz w:val="24"/>
          <w:szCs w:val="24"/>
        </w:rPr>
        <w:t>学生自行决定</w:t>
      </w:r>
      <w:r>
        <w:rPr>
          <w:rFonts w:hint="eastAsia" w:ascii="等线" w:hAnsi="等线" w:eastAsia="等线"/>
          <w:sz w:val="24"/>
          <w:szCs w:val="24"/>
        </w:rPr>
        <w:t>），</w:t>
      </w:r>
      <w:r>
        <w:rPr>
          <w:rFonts w:ascii="等线" w:hAnsi="等线" w:eastAsia="等线"/>
          <w:sz w:val="24"/>
          <w:szCs w:val="24"/>
        </w:rPr>
        <w:t>其系数为1，第二篇论文系数为0.7</w:t>
      </w:r>
      <w:r>
        <w:rPr>
          <w:rFonts w:hint="eastAsia" w:ascii="等线" w:hAnsi="等线" w:eastAsia="等线"/>
          <w:sz w:val="24"/>
          <w:szCs w:val="24"/>
        </w:rPr>
        <w:t>，第三篇论文系数为</w:t>
      </w:r>
      <w:r>
        <w:rPr>
          <w:rFonts w:ascii="等线" w:hAnsi="等线" w:eastAsia="等线"/>
          <w:sz w:val="24"/>
          <w:szCs w:val="24"/>
        </w:rPr>
        <w:t>0.5</w:t>
      </w:r>
      <w:r>
        <w:rPr>
          <w:rFonts w:hint="eastAsia" w:ascii="等线" w:hAnsi="等线" w:eastAsia="等线"/>
          <w:sz w:val="24"/>
          <w:szCs w:val="24"/>
        </w:rPr>
        <w:t>。</w:t>
      </w:r>
    </w:p>
    <w:p>
      <w:pPr>
        <w:spacing w:line="360" w:lineRule="auto"/>
        <w:ind w:firstLine="480" w:firstLineChars="200"/>
        <w:rPr>
          <w:rFonts w:ascii="等线" w:hAnsi="等线" w:eastAsia="等线"/>
          <w:b/>
          <w:sz w:val="24"/>
          <w:szCs w:val="24"/>
        </w:rPr>
      </w:pPr>
      <w:r>
        <w:rPr>
          <w:rFonts w:hint="eastAsia" w:ascii="等线" w:hAnsi="等线" w:eastAsia="等线"/>
          <w:b/>
          <w:sz w:val="24"/>
          <w:szCs w:val="24"/>
        </w:rPr>
        <w:t>（五）学术活动的分值计算</w:t>
      </w:r>
    </w:p>
    <w:p>
      <w:pPr>
        <w:pStyle w:val="13"/>
        <w:spacing w:line="360" w:lineRule="auto"/>
        <w:ind w:left="424" w:leftChars="202" w:firstLine="422" w:firstLineChars="176"/>
        <w:rPr>
          <w:rFonts w:ascii="等线" w:hAnsi="等线" w:eastAsia="等线"/>
          <w:b/>
          <w:sz w:val="24"/>
          <w:szCs w:val="24"/>
        </w:rPr>
      </w:pPr>
      <w:r>
        <w:rPr>
          <w:rFonts w:hint="eastAsia" w:ascii="等线" w:hAnsi="等线" w:eastAsia="等线"/>
          <w:sz w:val="24"/>
          <w:szCs w:val="24"/>
        </w:rPr>
        <w:t>参加国际重要学术会议，标准参见学校相关规定。</w:t>
      </w:r>
      <w:r>
        <w:rPr>
          <w:rFonts w:ascii="等线" w:hAnsi="等线" w:eastAsia="等线"/>
          <w:sz w:val="24"/>
          <w:szCs w:val="24"/>
        </w:rPr>
        <w:t>会议口头报告3分</w:t>
      </w:r>
      <w:r>
        <w:rPr>
          <w:rFonts w:hint="eastAsia" w:ascii="等线" w:hAnsi="等线" w:eastAsia="等线"/>
          <w:sz w:val="24"/>
          <w:szCs w:val="24"/>
        </w:rPr>
        <w:t>；国内</w:t>
      </w:r>
      <w:r>
        <w:rPr>
          <w:rFonts w:ascii="等线" w:hAnsi="等线" w:eastAsia="等线"/>
          <w:sz w:val="24"/>
          <w:szCs w:val="24"/>
        </w:rPr>
        <w:t>一级学会学术会议，</w:t>
      </w:r>
      <w:r>
        <w:rPr>
          <w:rFonts w:hint="eastAsia" w:ascii="等线" w:hAnsi="等线" w:eastAsia="等线"/>
          <w:sz w:val="24"/>
          <w:szCs w:val="24"/>
        </w:rPr>
        <w:t>会议口头</w:t>
      </w:r>
      <w:r>
        <w:rPr>
          <w:rFonts w:ascii="等线" w:hAnsi="等线" w:eastAsia="等线"/>
          <w:sz w:val="24"/>
          <w:szCs w:val="24"/>
        </w:rPr>
        <w:t>报告1分。</w:t>
      </w:r>
      <w:r>
        <w:rPr>
          <w:rFonts w:hint="eastAsia" w:ascii="等线" w:hAnsi="等线" w:eastAsia="等线"/>
          <w:sz w:val="24"/>
          <w:szCs w:val="24"/>
        </w:rPr>
        <w:t>本项目累计不超过5分。</w:t>
      </w:r>
    </w:p>
    <w:p>
      <w:pPr>
        <w:spacing w:line="360" w:lineRule="auto"/>
        <w:ind w:firstLine="480" w:firstLineChars="200"/>
        <w:rPr>
          <w:rFonts w:ascii="等线" w:hAnsi="等线" w:eastAsia="等线"/>
          <w:b/>
          <w:sz w:val="24"/>
          <w:szCs w:val="24"/>
        </w:rPr>
      </w:pPr>
      <w:r>
        <w:rPr>
          <w:rFonts w:hint="eastAsia" w:ascii="等线" w:hAnsi="等线" w:eastAsia="等线"/>
          <w:b/>
          <w:sz w:val="24"/>
          <w:szCs w:val="24"/>
        </w:rPr>
        <w:t>（六）科创竞赛的分值计算</w:t>
      </w:r>
    </w:p>
    <w:p>
      <w:pPr>
        <w:pStyle w:val="13"/>
        <w:spacing w:line="360" w:lineRule="auto"/>
        <w:ind w:left="284" w:firstLine="614" w:firstLineChars="256"/>
        <w:rPr>
          <w:rFonts w:ascii="等线" w:hAnsi="等线" w:eastAsia="等线"/>
          <w:sz w:val="24"/>
          <w:szCs w:val="24"/>
        </w:rPr>
      </w:pPr>
      <w:r>
        <w:rPr>
          <w:rFonts w:hint="eastAsia" w:ascii="等线" w:hAnsi="等线" w:eastAsia="等线"/>
          <w:sz w:val="24"/>
          <w:szCs w:val="24"/>
        </w:rPr>
        <w:t>创新创业大赛，具体赛事参见说明三。国家级比赛根据获奖名次分别为</w:t>
      </w:r>
      <w:r>
        <w:rPr>
          <w:rFonts w:ascii="等线" w:hAnsi="等线" w:eastAsia="等线"/>
          <w:sz w:val="24"/>
          <w:szCs w:val="24"/>
        </w:rPr>
        <w:t>15</w:t>
      </w:r>
      <w:r>
        <w:rPr>
          <w:rFonts w:hint="eastAsia" w:ascii="等线" w:hAnsi="等线" w:eastAsia="等线"/>
          <w:sz w:val="24"/>
          <w:szCs w:val="24"/>
        </w:rPr>
        <w:t>、7、3分；市级比赛根据获奖名次分别为7、4、</w:t>
      </w:r>
      <w:r>
        <w:rPr>
          <w:rFonts w:ascii="等线" w:hAnsi="等线" w:eastAsia="等线"/>
          <w:sz w:val="24"/>
          <w:szCs w:val="24"/>
        </w:rPr>
        <w:t>2</w:t>
      </w:r>
      <w:r>
        <w:rPr>
          <w:rFonts w:hint="eastAsia" w:ascii="等线" w:hAnsi="等线" w:eastAsia="等线"/>
          <w:sz w:val="24"/>
          <w:szCs w:val="24"/>
        </w:rPr>
        <w:t>分；获得校级比赛名次为</w:t>
      </w:r>
      <w:r>
        <w:rPr>
          <w:rFonts w:ascii="等线" w:hAnsi="等线" w:eastAsia="等线"/>
          <w:sz w:val="24"/>
          <w:szCs w:val="24"/>
        </w:rPr>
        <w:t>2</w:t>
      </w:r>
      <w:r>
        <w:rPr>
          <w:rFonts w:hint="eastAsia" w:ascii="等线" w:hAnsi="等线" w:eastAsia="等线"/>
          <w:sz w:val="24"/>
          <w:szCs w:val="24"/>
        </w:rPr>
        <w:t>分。本项目累计不超过1</w:t>
      </w:r>
      <w:r>
        <w:rPr>
          <w:rFonts w:ascii="等线" w:hAnsi="等线" w:eastAsia="等线"/>
          <w:sz w:val="24"/>
          <w:szCs w:val="24"/>
        </w:rPr>
        <w:t>0</w:t>
      </w:r>
      <w:r>
        <w:rPr>
          <w:rFonts w:hint="eastAsia" w:ascii="等线" w:hAnsi="等线" w:eastAsia="等线"/>
          <w:sz w:val="24"/>
          <w:szCs w:val="24"/>
        </w:rPr>
        <w:t>分。</w:t>
      </w:r>
    </w:p>
    <w:p>
      <w:pPr>
        <w:spacing w:line="360" w:lineRule="auto"/>
        <w:ind w:firstLine="480" w:firstLineChars="200"/>
        <w:rPr>
          <w:rFonts w:ascii="等线" w:hAnsi="等线" w:eastAsia="等线"/>
          <w:b/>
          <w:sz w:val="24"/>
          <w:szCs w:val="24"/>
        </w:rPr>
      </w:pPr>
      <w:r>
        <w:rPr>
          <w:rFonts w:hint="eastAsia" w:ascii="等线" w:hAnsi="等线" w:eastAsia="等线"/>
          <w:b/>
          <w:sz w:val="24"/>
          <w:szCs w:val="24"/>
        </w:rPr>
        <w:t>（七）计算</w:t>
      </w:r>
      <w:r>
        <w:rPr>
          <w:rFonts w:ascii="等线" w:hAnsi="等线" w:eastAsia="等线"/>
          <w:b/>
          <w:sz w:val="24"/>
          <w:szCs w:val="24"/>
        </w:rPr>
        <w:t>方式</w:t>
      </w:r>
    </w:p>
    <w:p>
      <w:pPr>
        <w:pStyle w:val="13"/>
        <w:spacing w:line="360" w:lineRule="auto"/>
        <w:ind w:left="284" w:firstLine="614" w:firstLineChars="256"/>
        <w:rPr>
          <w:rFonts w:ascii="等线" w:hAnsi="等线" w:eastAsia="等线"/>
          <w:sz w:val="24"/>
          <w:szCs w:val="24"/>
        </w:rPr>
      </w:pPr>
      <w:r>
        <w:rPr>
          <w:rFonts w:hint="eastAsia" w:ascii="等线" w:hAnsi="等线" w:eastAsia="等线"/>
          <w:sz w:val="24"/>
          <w:szCs w:val="24"/>
        </w:rPr>
        <w:t>每篇</w:t>
      </w:r>
      <w:r>
        <w:rPr>
          <w:rFonts w:ascii="等线" w:hAnsi="等线" w:eastAsia="等线"/>
          <w:sz w:val="24"/>
          <w:szCs w:val="24"/>
        </w:rPr>
        <w:t>论文的分值=</w:t>
      </w:r>
      <w:r>
        <w:rPr>
          <w:rFonts w:hint="eastAsia" w:ascii="等线" w:hAnsi="等线" w:eastAsia="等线"/>
          <w:sz w:val="24"/>
          <w:szCs w:val="24"/>
        </w:rPr>
        <w:t>分区</w:t>
      </w:r>
      <w:r>
        <w:rPr>
          <w:rFonts w:ascii="等线" w:hAnsi="等线" w:eastAsia="等线"/>
          <w:sz w:val="24"/>
          <w:szCs w:val="24"/>
        </w:rPr>
        <w:t>系数</w:t>
      </w:r>
      <w:r>
        <w:rPr>
          <w:rFonts w:hint="eastAsia" w:ascii="等线" w:hAnsi="等线" w:eastAsia="等线"/>
          <w:sz w:val="24"/>
          <w:szCs w:val="24"/>
        </w:rPr>
        <w:t>＊作者</w:t>
      </w:r>
      <w:r>
        <w:rPr>
          <w:rFonts w:ascii="等线" w:hAnsi="等线" w:eastAsia="等线"/>
          <w:sz w:val="24"/>
          <w:szCs w:val="24"/>
        </w:rPr>
        <w:t>排序</w:t>
      </w:r>
      <w:r>
        <w:rPr>
          <w:rFonts w:hint="eastAsia" w:ascii="等线" w:hAnsi="等线" w:eastAsia="等线"/>
          <w:sz w:val="24"/>
          <w:szCs w:val="24"/>
        </w:rPr>
        <w:t>系数＊多篇</w:t>
      </w:r>
      <w:r>
        <w:rPr>
          <w:rFonts w:ascii="等线" w:hAnsi="等线" w:eastAsia="等线"/>
          <w:sz w:val="24"/>
          <w:szCs w:val="24"/>
        </w:rPr>
        <w:t>论文系数</w:t>
      </w:r>
      <w:r>
        <w:rPr>
          <w:rFonts w:hint="eastAsia" w:ascii="等线" w:hAnsi="等线" w:eastAsia="等线"/>
          <w:sz w:val="24"/>
          <w:szCs w:val="24"/>
        </w:rPr>
        <w:t>。</w:t>
      </w:r>
    </w:p>
    <w:p>
      <w:pPr>
        <w:pStyle w:val="13"/>
        <w:spacing w:line="360" w:lineRule="auto"/>
        <w:ind w:left="284" w:firstLine="614" w:firstLineChars="256"/>
        <w:rPr>
          <w:rFonts w:ascii="等线" w:hAnsi="等线" w:eastAsia="等线"/>
          <w:sz w:val="24"/>
          <w:szCs w:val="24"/>
        </w:rPr>
      </w:pPr>
      <w:r>
        <w:rPr>
          <w:rFonts w:hint="eastAsia" w:ascii="等线" w:hAnsi="等线" w:eastAsia="等线"/>
          <w:sz w:val="24"/>
          <w:szCs w:val="24"/>
        </w:rPr>
        <w:t>科研成果总分=论文+专利+专著+学术会议+科创竞赛</w:t>
      </w:r>
    </w:p>
    <w:p>
      <w:pPr>
        <w:spacing w:line="360" w:lineRule="auto"/>
        <w:ind w:firstLine="480" w:firstLineChars="200"/>
        <w:rPr>
          <w:rFonts w:ascii="等线" w:hAnsi="等线" w:eastAsia="等线"/>
          <w:b/>
          <w:sz w:val="24"/>
          <w:szCs w:val="24"/>
        </w:rPr>
      </w:pPr>
      <w:r>
        <w:rPr>
          <w:rFonts w:hint="eastAsia" w:ascii="等线" w:hAnsi="等线" w:eastAsia="等线"/>
          <w:b/>
          <w:sz w:val="24"/>
          <w:szCs w:val="24"/>
        </w:rPr>
        <w:t>（八）补充</w:t>
      </w:r>
      <w:r>
        <w:rPr>
          <w:rFonts w:ascii="等线" w:hAnsi="等线" w:eastAsia="等线"/>
          <w:b/>
          <w:sz w:val="24"/>
          <w:szCs w:val="24"/>
        </w:rPr>
        <w:t>说明</w:t>
      </w:r>
    </w:p>
    <w:p>
      <w:pPr>
        <w:pStyle w:val="13"/>
        <w:spacing w:line="360" w:lineRule="auto"/>
        <w:ind w:left="324" w:firstLine="480"/>
        <w:rPr>
          <w:rFonts w:ascii="等线" w:hAnsi="等线" w:eastAsia="等线"/>
          <w:sz w:val="24"/>
          <w:szCs w:val="24"/>
        </w:rPr>
      </w:pPr>
      <w:r>
        <w:rPr>
          <w:rFonts w:hint="eastAsia" w:ascii="等线" w:hAnsi="等线" w:eastAsia="等线"/>
          <w:sz w:val="24"/>
          <w:szCs w:val="24"/>
        </w:rPr>
        <w:t>对于存在争议或者分区异常波动的期刊，学院有权根据实际情况调整期刊的计分标准。</w:t>
      </w:r>
    </w:p>
    <w:p>
      <w:pPr>
        <w:pStyle w:val="13"/>
        <w:spacing w:line="360" w:lineRule="auto"/>
        <w:ind w:left="-2" w:firstLine="0" w:firstLineChars="0"/>
        <w:rPr>
          <w:rFonts w:ascii="等线" w:hAnsi="等线" w:eastAsia="等线" w:cs="Segoe UI"/>
          <w:b/>
          <w:sz w:val="24"/>
          <w:szCs w:val="24"/>
        </w:rPr>
      </w:pPr>
    </w:p>
    <w:p>
      <w:pPr>
        <w:spacing w:line="360" w:lineRule="auto"/>
        <w:rPr>
          <w:rFonts w:ascii="等线" w:hAnsi="等线" w:eastAsia="等线" w:cs="Segoe UI"/>
          <w:b/>
          <w:sz w:val="24"/>
          <w:szCs w:val="24"/>
        </w:rPr>
      </w:pPr>
      <w:r>
        <w:rPr>
          <w:rFonts w:hint="eastAsia" w:ascii="等线" w:hAnsi="等线" w:eastAsia="等线" w:cs="Segoe UI"/>
          <w:b/>
          <w:sz w:val="24"/>
          <w:szCs w:val="24"/>
        </w:rPr>
        <w:t>二、课程成绩（</w:t>
      </w:r>
      <w:r>
        <w:rPr>
          <w:rFonts w:ascii="等线" w:hAnsi="等线" w:eastAsia="等线" w:cs="Segoe UI"/>
          <w:b/>
          <w:sz w:val="24"/>
          <w:szCs w:val="24"/>
        </w:rPr>
        <w:t>15</w:t>
      </w:r>
      <w:r>
        <w:rPr>
          <w:rFonts w:hint="eastAsia" w:ascii="等线" w:hAnsi="等线" w:eastAsia="等线" w:cs="Segoe UI"/>
          <w:b/>
          <w:sz w:val="24"/>
          <w:szCs w:val="24"/>
        </w:rPr>
        <w:t>分）</w:t>
      </w:r>
    </w:p>
    <w:p>
      <w:pPr>
        <w:spacing w:line="360" w:lineRule="auto"/>
        <w:ind w:firstLine="480" w:firstLineChars="200"/>
        <w:rPr>
          <w:rFonts w:ascii="等线" w:hAnsi="等线" w:eastAsia="等线"/>
          <w:sz w:val="24"/>
          <w:szCs w:val="24"/>
        </w:rPr>
      </w:pPr>
      <w:r>
        <w:rPr>
          <w:rFonts w:hint="eastAsia" w:ascii="等线" w:hAnsi="等线" w:eastAsia="等线"/>
          <w:sz w:val="24"/>
          <w:szCs w:val="24"/>
        </w:rPr>
        <w:t>1</w:t>
      </w:r>
      <w:r>
        <w:rPr>
          <w:rFonts w:ascii="等线" w:hAnsi="等线" w:eastAsia="等线"/>
          <w:sz w:val="24"/>
          <w:szCs w:val="24"/>
        </w:rPr>
        <w:t xml:space="preserve">. </w:t>
      </w:r>
      <w:r>
        <w:rPr>
          <w:rFonts w:hint="eastAsia" w:ascii="等线" w:hAnsi="等线" w:eastAsia="等线"/>
          <w:sz w:val="24"/>
          <w:szCs w:val="24"/>
        </w:rPr>
        <w:t>课程成绩按照</w:t>
      </w:r>
      <w:bookmarkStart w:id="0" w:name="_Hlk71465917"/>
      <w:r>
        <w:rPr>
          <w:rFonts w:hint="eastAsia" w:ascii="等线" w:hAnsi="等线" w:eastAsia="等线"/>
          <w:sz w:val="24"/>
          <w:szCs w:val="24"/>
        </w:rPr>
        <w:t>研究生课程的平均绩点</w:t>
      </w:r>
      <w:bookmarkEnd w:id="0"/>
      <w:r>
        <w:rPr>
          <w:rFonts w:hint="eastAsia" w:ascii="等线" w:hAnsi="等线" w:eastAsia="等线"/>
          <w:sz w:val="24"/>
          <w:szCs w:val="24"/>
        </w:rPr>
        <w:t>计算，仅统计</w:t>
      </w:r>
      <w:r>
        <w:rPr>
          <w:rFonts w:hint="eastAsia" w:ascii="等线" w:hAnsi="等线" w:eastAsia="等线"/>
          <w:b/>
          <w:sz w:val="24"/>
          <w:szCs w:val="24"/>
        </w:rPr>
        <w:t>学位公共课、学位基础课和学位专业课（必修）</w:t>
      </w:r>
      <w:r>
        <w:rPr>
          <w:rFonts w:hint="eastAsia" w:ascii="等线" w:hAnsi="等线" w:eastAsia="等线"/>
          <w:sz w:val="24"/>
          <w:szCs w:val="24"/>
        </w:rPr>
        <w:t>。</w:t>
      </w:r>
    </w:p>
    <w:p>
      <w:pPr>
        <w:spacing w:line="360" w:lineRule="auto"/>
        <w:ind w:firstLine="480" w:firstLineChars="200"/>
        <w:rPr>
          <w:rFonts w:ascii="等线" w:hAnsi="等线" w:eastAsia="等线"/>
          <w:sz w:val="24"/>
          <w:szCs w:val="24"/>
        </w:rPr>
      </w:pPr>
      <w:r>
        <w:rPr>
          <w:rFonts w:hint="eastAsia" w:ascii="等线" w:hAnsi="等线" w:eastAsia="等线"/>
          <w:sz w:val="24"/>
          <w:szCs w:val="24"/>
        </w:rPr>
        <w:t>2</w:t>
      </w:r>
      <w:r>
        <w:rPr>
          <w:rFonts w:ascii="等线" w:hAnsi="等线" w:eastAsia="等线"/>
          <w:sz w:val="24"/>
          <w:szCs w:val="24"/>
        </w:rPr>
        <w:t xml:space="preserve">. </w:t>
      </w:r>
      <w:r>
        <w:rPr>
          <w:rFonts w:hint="eastAsia" w:ascii="等线" w:hAnsi="等线" w:eastAsia="等线"/>
          <w:sz w:val="24"/>
          <w:szCs w:val="24"/>
        </w:rPr>
        <w:t>平均绩点按照</w:t>
      </w:r>
      <w:r>
        <w:rPr>
          <w:rFonts w:ascii="等线" w:hAnsi="等线" w:eastAsia="等线" w:cs="Segoe UI"/>
          <w:sz w:val="24"/>
          <w:szCs w:val="24"/>
        </w:rPr>
        <w:t>2019年修订的</w:t>
      </w:r>
      <w:r>
        <w:rPr>
          <w:rFonts w:hint="eastAsia" w:ascii="等线" w:hAnsi="等线" w:eastAsia="等线" w:cs="Segoe UI"/>
          <w:sz w:val="24"/>
          <w:szCs w:val="24"/>
        </w:rPr>
        <w:t>《</w:t>
      </w:r>
      <w:r>
        <w:rPr>
          <w:rFonts w:ascii="等线" w:hAnsi="等线" w:eastAsia="等线" w:cs="Segoe UI"/>
          <w:sz w:val="24"/>
          <w:szCs w:val="24"/>
        </w:rPr>
        <w:t>华东师范大学研究生课程学习和成绩管理规定</w:t>
      </w:r>
      <w:r>
        <w:rPr>
          <w:rFonts w:hint="eastAsia" w:ascii="等线" w:hAnsi="等线" w:eastAsia="等线" w:cs="Segoe UI"/>
          <w:sz w:val="24"/>
          <w:szCs w:val="24"/>
        </w:rPr>
        <w:t>》</w:t>
      </w:r>
      <w:r>
        <w:rPr>
          <w:rFonts w:hint="eastAsia" w:ascii="等线" w:hAnsi="等线" w:eastAsia="等线"/>
          <w:sz w:val="24"/>
          <w:szCs w:val="24"/>
        </w:rPr>
        <w:t>的方式计算（</w:t>
      </w:r>
      <w:r>
        <w:rPr>
          <w:rFonts w:ascii="等线" w:hAnsi="等线" w:eastAsia="等线"/>
          <w:sz w:val="24"/>
          <w:szCs w:val="24"/>
        </w:rPr>
        <w:t>n为满足1</w:t>
      </w:r>
      <w:r>
        <w:rPr>
          <w:rFonts w:hint="eastAsia" w:ascii="等线" w:hAnsi="等线" w:eastAsia="等线"/>
          <w:sz w:val="24"/>
          <w:szCs w:val="24"/>
        </w:rPr>
        <w:t>要求的课程总数）：</w:t>
      </w:r>
    </w:p>
    <w:p>
      <w:pPr>
        <w:pStyle w:val="13"/>
        <w:spacing w:line="360" w:lineRule="auto"/>
        <w:ind w:left="420" w:firstLine="854" w:firstLineChars="356"/>
        <w:rPr>
          <w:rFonts w:ascii="等线" w:hAnsi="等线" w:eastAsia="等线"/>
          <w:b/>
          <w:sz w:val="24"/>
          <w:szCs w:val="24"/>
        </w:rPr>
      </w:pPr>
      <w:r>
        <w:rPr>
          <w:rFonts w:hint="eastAsia" w:ascii="等线" w:hAnsi="等线" w:eastAsia="等线"/>
          <w:sz w:val="24"/>
          <w:szCs w:val="24"/>
        </w:rPr>
        <w:t>平均绩点</w:t>
      </w:r>
      <w:r>
        <w:rPr>
          <w:rFonts w:ascii="等线" w:hAnsi="等线" w:eastAsia="等线"/>
          <w:sz w:val="24"/>
          <w:szCs w:val="24"/>
        </w:rPr>
        <w:t>=</w:t>
      </w:r>
      <m:oMath>
        <m:f>
          <m:fPr>
            <m:ctrlPr>
              <w:rPr>
                <w:rFonts w:ascii="Cambria Math" w:hAnsi="Cambria Math" w:eastAsia="等线"/>
                <w:b/>
                <w:sz w:val="24"/>
                <w:szCs w:val="24"/>
              </w:rPr>
            </m:ctrlPr>
          </m:fPr>
          <m:num>
            <m:r>
              <m:rPr>
                <m:sty m:val="b"/>
              </m:rPr>
              <w:rPr>
                <w:rFonts w:hint="eastAsia" w:ascii="Cambria Math" w:hAnsi="Cambria Math" w:eastAsia="等线"/>
                <w:sz w:val="24"/>
                <w:szCs w:val="24"/>
              </w:rPr>
              <m:t>课程</m:t>
            </m:r>
            <m:r>
              <m:rPr>
                <m:sty m:val="b"/>
              </m:rPr>
              <w:rPr>
                <w:rFonts w:ascii="Cambria Math" w:hAnsi="Cambria Math" w:eastAsia="等线"/>
                <w:sz w:val="24"/>
                <w:szCs w:val="24"/>
              </w:rPr>
              <m:t>1</m:t>
            </m:r>
            <m:r>
              <m:rPr>
                <m:sty m:val="b"/>
              </m:rPr>
              <w:rPr>
                <w:rFonts w:hint="eastAsia" w:ascii="Cambria Math" w:hAnsi="Cambria Math" w:eastAsia="等线"/>
                <w:sz w:val="24"/>
                <w:szCs w:val="24"/>
              </w:rPr>
              <m:t>绩点</m:t>
            </m:r>
            <m:r>
              <m:rPr>
                <m:sty m:val="b"/>
              </m:rPr>
              <w:rPr>
                <w:rFonts w:ascii="Cambria Math" w:hAnsi="Cambria Math" w:eastAsia="等线"/>
                <w:sz w:val="24"/>
                <w:szCs w:val="24"/>
              </w:rPr>
              <m:t>×</m:t>
            </m:r>
            <m:r>
              <m:rPr>
                <m:sty m:val="b"/>
              </m:rPr>
              <w:rPr>
                <w:rFonts w:hint="eastAsia" w:ascii="Cambria Math" w:hAnsi="Cambria Math" w:eastAsia="等线"/>
                <w:sz w:val="24"/>
                <w:szCs w:val="24"/>
              </w:rPr>
              <m:t>课程</m:t>
            </m:r>
            <m:r>
              <m:rPr>
                <m:sty m:val="b"/>
              </m:rPr>
              <w:rPr>
                <w:rFonts w:ascii="Cambria Math" w:hAnsi="Cambria Math" w:eastAsia="等线"/>
                <w:sz w:val="24"/>
                <w:szCs w:val="24"/>
              </w:rPr>
              <m:t>1</m:t>
            </m:r>
            <m:r>
              <m:rPr>
                <m:sty m:val="b"/>
              </m:rPr>
              <w:rPr>
                <w:rFonts w:hint="eastAsia" w:ascii="Cambria Math" w:hAnsi="Cambria Math" w:eastAsia="等线"/>
                <w:sz w:val="24"/>
                <w:szCs w:val="24"/>
              </w:rPr>
              <m:t>学分</m:t>
            </m:r>
            <m:r>
              <m:rPr>
                <m:sty m:val="b"/>
              </m:rPr>
              <w:rPr>
                <w:rFonts w:ascii="Cambria Math" w:hAnsi="Cambria Math" w:eastAsia="等线"/>
                <w:sz w:val="24"/>
                <w:szCs w:val="24"/>
              </w:rPr>
              <m:t>+</m:t>
            </m:r>
            <m:r>
              <m:rPr>
                <m:sty m:val="b"/>
              </m:rPr>
              <w:rPr>
                <w:rFonts w:hint="eastAsia" w:ascii="Cambria Math" w:hAnsi="Cambria Math" w:eastAsia="等线"/>
                <w:sz w:val="24"/>
                <w:szCs w:val="24"/>
              </w:rPr>
              <m:t>······</m:t>
            </m:r>
            <m:r>
              <m:rPr>
                <m:sty m:val="b"/>
              </m:rPr>
              <w:rPr>
                <w:rFonts w:ascii="Cambria Math" w:hAnsi="Cambria Math" w:eastAsia="等线"/>
                <w:sz w:val="24"/>
                <w:szCs w:val="24"/>
              </w:rPr>
              <m:t>+</m:t>
            </m:r>
            <m:r>
              <m:rPr>
                <m:sty m:val="b"/>
              </m:rPr>
              <w:rPr>
                <w:rFonts w:hint="eastAsia" w:ascii="Cambria Math" w:hAnsi="Cambria Math" w:eastAsia="等线"/>
                <w:sz w:val="24"/>
                <w:szCs w:val="24"/>
              </w:rPr>
              <m:t>课程</m:t>
            </m:r>
            <m:r>
              <m:rPr>
                <m:sty m:val="b"/>
              </m:rPr>
              <w:rPr>
                <w:rFonts w:ascii="Cambria Math" w:hAnsi="Cambria Math" w:eastAsia="等线"/>
                <w:sz w:val="24"/>
                <w:szCs w:val="24"/>
              </w:rPr>
              <m:t>n</m:t>
            </m:r>
            <m:r>
              <m:rPr>
                <m:sty m:val="b"/>
              </m:rPr>
              <w:rPr>
                <w:rFonts w:hint="eastAsia" w:ascii="Cambria Math" w:hAnsi="Cambria Math" w:eastAsia="等线"/>
                <w:sz w:val="24"/>
                <w:szCs w:val="24"/>
              </w:rPr>
              <m:t>绩点</m:t>
            </m:r>
            <m:r>
              <m:rPr>
                <m:sty m:val="b"/>
              </m:rPr>
              <w:rPr>
                <w:rFonts w:ascii="Cambria Math" w:hAnsi="Cambria Math" w:eastAsia="等线"/>
                <w:sz w:val="24"/>
                <w:szCs w:val="24"/>
              </w:rPr>
              <m:t>×</m:t>
            </m:r>
            <m:r>
              <m:rPr>
                <m:sty m:val="b"/>
              </m:rPr>
              <w:rPr>
                <w:rFonts w:hint="eastAsia" w:ascii="Cambria Math" w:hAnsi="Cambria Math" w:eastAsia="等线"/>
                <w:sz w:val="24"/>
                <w:szCs w:val="24"/>
              </w:rPr>
              <m:t>课程</m:t>
            </m:r>
            <m:r>
              <m:rPr>
                <m:sty m:val="b"/>
              </m:rPr>
              <w:rPr>
                <w:rFonts w:ascii="Cambria Math" w:hAnsi="Cambria Math" w:eastAsia="等线"/>
                <w:sz w:val="24"/>
                <w:szCs w:val="24"/>
              </w:rPr>
              <m:t>n</m:t>
            </m:r>
            <m:r>
              <m:rPr>
                <m:sty m:val="b"/>
              </m:rPr>
              <w:rPr>
                <w:rFonts w:hint="eastAsia" w:ascii="Cambria Math" w:hAnsi="Cambria Math" w:eastAsia="等线"/>
                <w:sz w:val="24"/>
                <w:szCs w:val="24"/>
              </w:rPr>
              <m:t>学分</m:t>
            </m:r>
            <m:ctrlPr>
              <w:rPr>
                <w:rFonts w:ascii="Cambria Math" w:hAnsi="Cambria Math" w:eastAsia="等线"/>
                <w:b/>
                <w:sz w:val="24"/>
                <w:szCs w:val="24"/>
              </w:rPr>
            </m:ctrlPr>
          </m:num>
          <m:den>
            <m:r>
              <m:rPr>
                <m:sty m:val="b"/>
              </m:rPr>
              <w:rPr>
                <w:rFonts w:hint="eastAsia" w:ascii="Cambria Math" w:hAnsi="Cambria Math" w:eastAsia="等线"/>
                <w:sz w:val="24"/>
                <w:szCs w:val="24"/>
              </w:rPr>
              <m:t>课程</m:t>
            </m:r>
            <m:r>
              <m:rPr>
                <m:sty m:val="b"/>
              </m:rPr>
              <w:rPr>
                <w:rFonts w:ascii="Cambria Math" w:hAnsi="Cambria Math" w:eastAsia="等线"/>
                <w:sz w:val="24"/>
                <w:szCs w:val="24"/>
              </w:rPr>
              <m:t>1</m:t>
            </m:r>
            <m:r>
              <m:rPr>
                <m:sty m:val="b"/>
              </m:rPr>
              <w:rPr>
                <w:rFonts w:hint="eastAsia" w:ascii="Cambria Math" w:hAnsi="Cambria Math" w:eastAsia="等线"/>
                <w:sz w:val="24"/>
                <w:szCs w:val="24"/>
              </w:rPr>
              <m:t>学分</m:t>
            </m:r>
            <m:r>
              <m:rPr>
                <m:sty m:val="b"/>
              </m:rPr>
              <w:rPr>
                <w:rFonts w:ascii="Cambria Math" w:hAnsi="Cambria Math" w:eastAsia="等线"/>
                <w:sz w:val="24"/>
                <w:szCs w:val="24"/>
              </w:rPr>
              <m:t>+</m:t>
            </m:r>
            <m:r>
              <m:rPr>
                <m:sty m:val="b"/>
              </m:rPr>
              <w:rPr>
                <w:rFonts w:hint="eastAsia" w:ascii="Cambria Math" w:hAnsi="Cambria Math" w:eastAsia="等线"/>
                <w:sz w:val="24"/>
                <w:szCs w:val="24"/>
              </w:rPr>
              <m:t>······</m:t>
            </m:r>
            <m:r>
              <m:rPr>
                <m:sty m:val="b"/>
              </m:rPr>
              <w:rPr>
                <w:rFonts w:ascii="Cambria Math" w:hAnsi="Cambria Math" w:eastAsia="等线"/>
                <w:sz w:val="24"/>
                <w:szCs w:val="24"/>
              </w:rPr>
              <m:t>+</m:t>
            </m:r>
            <m:r>
              <m:rPr>
                <m:sty m:val="b"/>
              </m:rPr>
              <w:rPr>
                <w:rFonts w:hint="eastAsia" w:ascii="Cambria Math" w:hAnsi="Cambria Math" w:eastAsia="等线"/>
                <w:sz w:val="24"/>
                <w:szCs w:val="24"/>
              </w:rPr>
              <m:t>课程</m:t>
            </m:r>
            <m:r>
              <m:rPr>
                <m:sty m:val="b"/>
              </m:rPr>
              <w:rPr>
                <w:rFonts w:ascii="Cambria Math" w:hAnsi="Cambria Math" w:eastAsia="等线"/>
                <w:sz w:val="24"/>
                <w:szCs w:val="24"/>
              </w:rPr>
              <m:t>n</m:t>
            </m:r>
            <m:r>
              <m:rPr>
                <m:sty m:val="b"/>
              </m:rPr>
              <w:rPr>
                <w:rFonts w:hint="eastAsia" w:ascii="Cambria Math" w:hAnsi="Cambria Math" w:eastAsia="等线"/>
                <w:sz w:val="24"/>
                <w:szCs w:val="24"/>
              </w:rPr>
              <m:t>学分</m:t>
            </m:r>
            <m:ctrlPr>
              <w:rPr>
                <w:rFonts w:ascii="Cambria Math" w:hAnsi="Cambria Math" w:eastAsia="等线"/>
                <w:b/>
                <w:sz w:val="24"/>
                <w:szCs w:val="24"/>
              </w:rPr>
            </m:ctrlPr>
          </m:den>
        </m:f>
      </m:oMath>
    </w:p>
    <w:p>
      <w:pPr>
        <w:spacing w:line="360" w:lineRule="auto"/>
        <w:ind w:firstLine="480"/>
        <w:rPr>
          <w:rFonts w:ascii="等线" w:hAnsi="等线" w:eastAsia="等线"/>
          <w:sz w:val="24"/>
          <w:szCs w:val="24"/>
        </w:rPr>
      </w:pPr>
      <w:r>
        <w:rPr>
          <w:rFonts w:hint="eastAsia" w:ascii="等线" w:hAnsi="等线" w:eastAsia="等线"/>
          <w:sz w:val="24"/>
          <w:szCs w:val="24"/>
        </w:rPr>
        <w:t>3. 课程成绩的得分将依据平均绩点占总绩点（4分）的比值乘以总分1</w:t>
      </w:r>
      <w:r>
        <w:rPr>
          <w:rFonts w:ascii="等线" w:hAnsi="等线" w:eastAsia="等线"/>
          <w:sz w:val="24"/>
          <w:szCs w:val="24"/>
        </w:rPr>
        <w:t>5</w:t>
      </w:r>
      <w:r>
        <w:rPr>
          <w:rFonts w:hint="eastAsia" w:ascii="等线" w:hAnsi="等线" w:eastAsia="等线"/>
          <w:sz w:val="24"/>
          <w:szCs w:val="24"/>
        </w:rPr>
        <w:t>分计算。</w:t>
      </w:r>
    </w:p>
    <w:p>
      <w:pPr>
        <w:spacing w:line="360" w:lineRule="auto"/>
        <w:rPr>
          <w:rFonts w:ascii="等线" w:hAnsi="等线" w:eastAsia="等线" w:cs="Segoe UI"/>
          <w:b/>
          <w:sz w:val="24"/>
          <w:szCs w:val="24"/>
        </w:rPr>
      </w:pPr>
    </w:p>
    <w:p>
      <w:pPr>
        <w:spacing w:line="360" w:lineRule="auto"/>
        <w:rPr>
          <w:rFonts w:ascii="等线" w:hAnsi="等线" w:eastAsia="等线" w:cs="Segoe UI"/>
          <w:b/>
          <w:sz w:val="24"/>
          <w:szCs w:val="24"/>
        </w:rPr>
      </w:pPr>
      <w:r>
        <w:rPr>
          <w:rFonts w:hint="eastAsia" w:ascii="等线" w:hAnsi="等线" w:eastAsia="等线" w:cs="Segoe UI"/>
          <w:b/>
          <w:sz w:val="24"/>
          <w:szCs w:val="24"/>
        </w:rPr>
        <w:t>三、社会活动分值的计算（博士15分、硕士20分</w:t>
      </w:r>
      <w:r>
        <w:rPr>
          <w:rFonts w:ascii="等线" w:hAnsi="等线" w:eastAsia="等线" w:cs="Segoe UI"/>
          <w:b/>
          <w:sz w:val="24"/>
          <w:szCs w:val="24"/>
        </w:rPr>
        <w:t>）</w:t>
      </w:r>
    </w:p>
    <w:p>
      <w:pPr>
        <w:spacing w:line="360" w:lineRule="auto"/>
        <w:ind w:firstLine="480"/>
        <w:rPr>
          <w:rFonts w:ascii="等线" w:hAnsi="等线" w:eastAsia="等线"/>
          <w:sz w:val="24"/>
          <w:szCs w:val="24"/>
        </w:rPr>
      </w:pPr>
      <w:r>
        <w:rPr>
          <w:rFonts w:ascii="等线" w:hAnsi="等线" w:eastAsia="等线"/>
          <w:sz w:val="24"/>
          <w:szCs w:val="24"/>
        </w:rPr>
        <w:t>特别说明：</w:t>
      </w:r>
    </w:p>
    <w:p>
      <w:pPr>
        <w:spacing w:line="360" w:lineRule="auto"/>
        <w:ind w:firstLine="480"/>
        <w:rPr>
          <w:rFonts w:ascii="等线" w:hAnsi="等线" w:eastAsia="等线"/>
          <w:sz w:val="24"/>
          <w:szCs w:val="24"/>
        </w:rPr>
      </w:pPr>
      <w:r>
        <w:rPr>
          <w:rFonts w:ascii="等线" w:hAnsi="等线" w:eastAsia="等线"/>
          <w:sz w:val="24"/>
          <w:szCs w:val="24"/>
        </w:rPr>
        <w:t>① 学生干部任职要满一年或一届，志愿服务与社会实践工作要有证明材料</w:t>
      </w:r>
      <w:r>
        <w:rPr>
          <w:rFonts w:hint="eastAsia" w:ascii="等线" w:hAnsi="等线" w:eastAsia="等线"/>
          <w:sz w:val="24"/>
          <w:szCs w:val="24"/>
        </w:rPr>
        <w:t>；</w:t>
      </w:r>
    </w:p>
    <w:p>
      <w:pPr>
        <w:spacing w:line="360" w:lineRule="auto"/>
        <w:ind w:firstLine="480" w:firstLineChars="200"/>
        <w:rPr>
          <w:rFonts w:ascii="等线" w:hAnsi="等线" w:eastAsia="等线"/>
          <w:sz w:val="24"/>
          <w:szCs w:val="24"/>
        </w:rPr>
      </w:pPr>
      <w:r>
        <w:rPr>
          <w:rFonts w:hint="eastAsia" w:ascii="等线" w:hAnsi="等线" w:eastAsia="等线"/>
          <w:sz w:val="24"/>
          <w:szCs w:val="24"/>
        </w:rPr>
        <w:t xml:space="preserve">② </w:t>
      </w:r>
      <w:r>
        <w:rPr>
          <w:rFonts w:ascii="等线" w:hAnsi="等线" w:eastAsia="等线"/>
          <w:sz w:val="24"/>
          <w:szCs w:val="24"/>
        </w:rPr>
        <w:t>1-4的小项只取最高分，大项可以累加。</w:t>
      </w:r>
    </w:p>
    <w:p>
      <w:pPr>
        <w:spacing w:line="360" w:lineRule="auto"/>
        <w:ind w:firstLine="480"/>
        <w:rPr>
          <w:rFonts w:ascii="等线" w:hAnsi="等线" w:eastAsia="等线"/>
          <w:sz w:val="24"/>
          <w:szCs w:val="24"/>
        </w:rPr>
      </w:pPr>
      <w:r>
        <w:rPr>
          <w:rFonts w:hint="eastAsia" w:ascii="等线" w:hAnsi="等线" w:eastAsia="等线"/>
          <w:sz w:val="24"/>
          <w:szCs w:val="24"/>
        </w:rPr>
        <w:t xml:space="preserve">③ </w:t>
      </w:r>
      <w:r>
        <w:rPr>
          <w:rFonts w:ascii="等线" w:hAnsi="等线" w:eastAsia="等线"/>
          <w:sz w:val="24"/>
          <w:szCs w:val="24"/>
        </w:rPr>
        <w:t>社会工作的得分将依据申请者最高分的得分进行标准化。</w:t>
      </w:r>
    </w:p>
    <w:p>
      <w:pPr>
        <w:spacing w:line="360" w:lineRule="auto"/>
        <w:rPr>
          <w:rFonts w:ascii="等线" w:hAnsi="等线" w:eastAsia="等线"/>
          <w:b/>
          <w:sz w:val="24"/>
          <w:szCs w:val="24"/>
        </w:rPr>
      </w:pPr>
      <w:r>
        <w:rPr>
          <w:rFonts w:ascii="等线" w:hAnsi="等线" w:eastAsia="等线"/>
          <w:b/>
          <w:sz w:val="24"/>
          <w:szCs w:val="24"/>
        </w:rPr>
        <w:t xml:space="preserve"> 1. 学生工作（需提供相关资料电子版或相关教师确认）</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校、院级研会主席————————————————————12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党支部书记，院级研会副主席、副书记，社团社长——————10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班长，“啄木鸟”安全小卫士负责人—————————————9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校、院级研会部长，信宣中心部长，党支部副书记，团支部书记，社团副社长——————————————————————————8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“啄木鸟”安全小卫士主要干部，核心班委———————————7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党支部委员（组织委员、宣传委员等），社团部长———————6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研究生会优秀干事，“啄木鸟”安全小卫士标兵，社团优秀社员——5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一般班委————————————————————————4 分 </w:t>
      </w:r>
    </w:p>
    <w:p>
      <w:pPr>
        <w:spacing w:line="360" w:lineRule="auto"/>
        <w:rPr>
          <w:rFonts w:ascii="等线" w:hAnsi="等线" w:eastAsia="等线"/>
          <w:sz w:val="24"/>
          <w:szCs w:val="24"/>
        </w:rPr>
      </w:pPr>
      <w:r>
        <w:rPr>
          <w:rFonts w:ascii="等线" w:hAnsi="等线" w:eastAsia="等线"/>
          <w:b/>
          <w:sz w:val="24"/>
          <w:szCs w:val="24"/>
        </w:rPr>
        <w:t>2. 党团工作实绩</w:t>
      </w:r>
      <w:r>
        <w:rPr>
          <w:rFonts w:ascii="等线" w:hAnsi="等线" w:eastAsia="等线"/>
          <w:sz w:val="24"/>
          <w:szCs w:val="24"/>
        </w:rPr>
        <w:t xml:space="preserve">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获得市级优秀主题党日案例和优秀组织生活案例的负责人；获得市级党建团 建研究课题立项并顺利结题的项目负责人———————————8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获得校级先进党支部和校级一团一品团支部的主要负责人———5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获得校级优秀主题党日案例和优秀组织生活案例的负责人；获得校级党建团 建研究课题立项并顺利结题的项目负责人———————————3 分 </w:t>
      </w:r>
    </w:p>
    <w:p>
      <w:pPr>
        <w:spacing w:line="360" w:lineRule="auto"/>
        <w:rPr>
          <w:rFonts w:ascii="等线" w:hAnsi="等线" w:eastAsia="等线"/>
          <w:b/>
          <w:sz w:val="24"/>
          <w:szCs w:val="24"/>
        </w:rPr>
      </w:pPr>
      <w:r>
        <w:rPr>
          <w:rFonts w:ascii="等线" w:hAnsi="等线" w:eastAsia="等线"/>
          <w:b/>
          <w:sz w:val="24"/>
          <w:szCs w:val="24"/>
        </w:rPr>
        <w:t xml:space="preserve">3. 学生工作与社会服务 </w:t>
      </w:r>
    </w:p>
    <w:p>
      <w:pPr>
        <w:spacing w:line="360" w:lineRule="auto"/>
        <w:ind w:firstLine="480" w:firstLineChars="200"/>
        <w:rPr>
          <w:rFonts w:ascii="等线" w:hAnsi="等线" w:eastAsia="等线"/>
          <w:sz w:val="24"/>
          <w:szCs w:val="24"/>
        </w:rPr>
      </w:pPr>
      <w:r>
        <w:rPr>
          <w:rFonts w:ascii="等线" w:hAnsi="等线" w:eastAsia="等线"/>
          <w:sz w:val="24"/>
          <w:szCs w:val="24"/>
        </w:rPr>
        <w:t>市级社会实践奖项、优秀志愿者或志愿服务时长</w:t>
      </w:r>
      <w:r>
        <w:rPr>
          <w:rFonts w:hint="eastAsia" w:ascii="等线" w:hAnsi="等线" w:eastAsia="等线"/>
          <w:sz w:val="24"/>
          <w:szCs w:val="24"/>
        </w:rPr>
        <w:t>累计</w:t>
      </w:r>
      <w:r>
        <w:rPr>
          <w:rFonts w:ascii="等线" w:hAnsi="等线" w:eastAsia="等线"/>
          <w:sz w:val="24"/>
          <w:szCs w:val="24"/>
        </w:rPr>
        <w:t xml:space="preserve">超过64小时——5 分 </w:t>
      </w:r>
    </w:p>
    <w:p>
      <w:pPr>
        <w:spacing w:line="360" w:lineRule="auto"/>
        <w:ind w:left="420" w:leftChars="200"/>
        <w:rPr>
          <w:rFonts w:ascii="等线" w:hAnsi="等线" w:eastAsia="等线"/>
          <w:sz w:val="24"/>
          <w:szCs w:val="24"/>
        </w:rPr>
      </w:pPr>
      <w:r>
        <w:rPr>
          <w:rFonts w:ascii="等线" w:hAnsi="等线" w:eastAsia="等线"/>
          <w:sz w:val="24"/>
          <w:szCs w:val="24"/>
        </w:rPr>
        <w:t>校院级社会实践奖项、优秀志愿者或志愿服务时长</w:t>
      </w:r>
      <w:r>
        <w:rPr>
          <w:rFonts w:hint="eastAsia" w:ascii="等线" w:hAnsi="等线" w:eastAsia="等线"/>
          <w:sz w:val="24"/>
          <w:szCs w:val="24"/>
        </w:rPr>
        <w:t>累计</w:t>
      </w:r>
      <w:r>
        <w:rPr>
          <w:rFonts w:ascii="等线" w:hAnsi="等线" w:eastAsia="等线"/>
          <w:sz w:val="24"/>
          <w:szCs w:val="24"/>
        </w:rPr>
        <w:t xml:space="preserve">超过32小时—3 分 志愿献血（同等条件下，志愿献血者优先考虑），一般志愿经历或实践挂职 经历———————————————————————————2 分 </w:t>
      </w:r>
    </w:p>
    <w:p>
      <w:pPr>
        <w:spacing w:line="360" w:lineRule="auto"/>
        <w:rPr>
          <w:rFonts w:ascii="等线" w:hAnsi="等线" w:eastAsia="等线"/>
          <w:b/>
          <w:sz w:val="24"/>
          <w:szCs w:val="24"/>
        </w:rPr>
      </w:pPr>
      <w:r>
        <w:rPr>
          <w:rFonts w:ascii="等线" w:hAnsi="等线" w:eastAsia="等线"/>
          <w:b/>
          <w:sz w:val="24"/>
          <w:szCs w:val="24"/>
        </w:rPr>
        <w:t xml:space="preserve">4. 突出贡献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在校期间有参军入伍服兵役经历、国际组织实习经历（至少三个月）的优秀 学生———————————————————————————10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在体育竞赛中取得显著成绩，为国家争得荣誉。非体育专业学生参加省级以 上体育比赛获得个人项目前三名，集体项目前二名，集体项目应为上场主力队 员。————————————————————————————10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在艺术展演方面取得显著成绩，参加全国大学生艺术展演获得一、二等奖， 参加省级艺术展演获得一等奖。———————————————10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获全国十大杰出青年、中国青年五四奖章、中国大学生年度人物等全国性荣 誉称号。——————————————————————————10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获市级奖励的集体负责人或个人———————————————4 分 </w:t>
      </w:r>
    </w:p>
    <w:p>
      <w:pPr>
        <w:spacing w:line="360" w:lineRule="auto"/>
        <w:ind w:firstLine="480" w:firstLineChars="200"/>
        <w:rPr>
          <w:rFonts w:ascii="等线" w:hAnsi="等线" w:eastAsia="等线"/>
          <w:sz w:val="24"/>
          <w:szCs w:val="24"/>
        </w:rPr>
      </w:pPr>
      <w:r>
        <w:rPr>
          <w:rFonts w:ascii="等线" w:hAnsi="等线" w:eastAsia="等线"/>
          <w:sz w:val="24"/>
          <w:szCs w:val="24"/>
        </w:rPr>
        <w:t xml:space="preserve">获校级奖励的集体负责人或个人（颁发单位为华东师范大学）——2 分 </w:t>
      </w:r>
    </w:p>
    <w:p>
      <w:pPr>
        <w:spacing w:line="360" w:lineRule="auto"/>
        <w:ind w:firstLine="480" w:firstLineChars="200"/>
        <w:rPr>
          <w:rFonts w:ascii="等线" w:hAnsi="等线" w:eastAsia="等线"/>
          <w:sz w:val="24"/>
          <w:szCs w:val="24"/>
        </w:rPr>
      </w:pPr>
      <w:r>
        <w:rPr>
          <w:rFonts w:hint="eastAsia" w:ascii="等线" w:hAnsi="等线" w:eastAsia="等线"/>
          <w:sz w:val="24"/>
          <w:szCs w:val="24"/>
        </w:rPr>
        <w:t>在疫情防控期间具有突出表现的个人—————————————3-</w:t>
      </w:r>
      <w:r>
        <w:rPr>
          <w:rFonts w:ascii="等线" w:hAnsi="等线" w:eastAsia="等线"/>
          <w:sz w:val="24"/>
          <w:szCs w:val="24"/>
        </w:rPr>
        <w:t>5</w:t>
      </w:r>
      <w:r>
        <w:rPr>
          <w:rFonts w:hint="eastAsia" w:ascii="等线" w:hAnsi="等线" w:eastAsia="等线"/>
          <w:sz w:val="24"/>
          <w:szCs w:val="24"/>
        </w:rPr>
        <w:t>分</w:t>
      </w:r>
    </w:p>
    <w:p>
      <w:pPr>
        <w:spacing w:line="360" w:lineRule="auto"/>
        <w:ind w:firstLine="480" w:firstLineChars="200"/>
        <w:rPr>
          <w:rFonts w:ascii="等线" w:hAnsi="等线" w:eastAsia="等线" w:cs="Segoe UI"/>
          <w:b/>
          <w:sz w:val="24"/>
          <w:szCs w:val="24"/>
        </w:rPr>
      </w:pPr>
      <w:r>
        <w:rPr>
          <w:rFonts w:ascii="等线" w:hAnsi="等线" w:eastAsia="等线"/>
          <w:sz w:val="24"/>
          <w:szCs w:val="24"/>
        </w:rPr>
        <w:t>其它应当认定为表现非常突出的情形。</w:t>
      </w:r>
    </w:p>
    <w:p>
      <w:pPr>
        <w:spacing w:line="360" w:lineRule="auto"/>
        <w:rPr>
          <w:rFonts w:ascii="等线" w:hAnsi="等线" w:eastAsia="等线" w:cs="Segoe UI"/>
          <w:b/>
          <w:sz w:val="24"/>
          <w:szCs w:val="24"/>
        </w:rPr>
      </w:pPr>
    </w:p>
    <w:p>
      <w:pPr>
        <w:spacing w:line="360" w:lineRule="auto"/>
        <w:rPr>
          <w:rFonts w:ascii="等线" w:hAnsi="等线" w:eastAsia="等线" w:cs="Segoe UI"/>
          <w:b/>
          <w:sz w:val="24"/>
          <w:szCs w:val="24"/>
        </w:rPr>
      </w:pPr>
      <w:r>
        <w:rPr>
          <w:rFonts w:hint="eastAsia" w:ascii="等线" w:hAnsi="等线" w:eastAsia="等线" w:cs="Segoe UI"/>
          <w:b/>
          <w:sz w:val="24"/>
          <w:szCs w:val="24"/>
        </w:rPr>
        <w:t>四、综合表现（博士40分、硕士35分）</w:t>
      </w:r>
    </w:p>
    <w:p>
      <w:pPr>
        <w:pStyle w:val="13"/>
        <w:spacing w:line="360" w:lineRule="auto"/>
        <w:ind w:left="360" w:firstLine="480"/>
        <w:rPr>
          <w:rFonts w:ascii="等线" w:hAnsi="等线" w:eastAsia="等线"/>
          <w:sz w:val="24"/>
          <w:szCs w:val="24"/>
        </w:rPr>
      </w:pPr>
      <w:r>
        <w:rPr>
          <w:rFonts w:hint="eastAsia" w:ascii="等线" w:hAnsi="等线" w:eastAsia="等线"/>
          <w:sz w:val="24"/>
          <w:szCs w:val="24"/>
        </w:rPr>
        <w:t>通过申请人已发表、未发表的科研成果、学术水平以及答辩表现，考察申请人的科研潜力，由评审委员会成员现场酌情打分。</w:t>
      </w:r>
    </w:p>
    <w:p>
      <w:pPr>
        <w:spacing w:line="360" w:lineRule="auto"/>
        <w:rPr>
          <w:rFonts w:ascii="等线" w:hAnsi="等线" w:eastAsia="等线" w:cs="Segoe UI"/>
          <w:b/>
          <w:sz w:val="24"/>
          <w:szCs w:val="24"/>
        </w:rPr>
      </w:pPr>
    </w:p>
    <w:p>
      <w:pPr>
        <w:pStyle w:val="13"/>
        <w:numPr>
          <w:ilvl w:val="0"/>
          <w:numId w:val="1"/>
        </w:numPr>
        <w:spacing w:line="360" w:lineRule="auto"/>
        <w:ind w:firstLineChars="0"/>
        <w:rPr>
          <w:rFonts w:ascii="等线" w:hAnsi="等线" w:eastAsia="等线" w:cs="Segoe UI"/>
          <w:b/>
          <w:sz w:val="24"/>
          <w:szCs w:val="24"/>
        </w:rPr>
      </w:pPr>
      <w:r>
        <w:rPr>
          <w:rFonts w:hint="eastAsia" w:ascii="等线" w:hAnsi="等线" w:eastAsia="等线" w:cs="Segoe UI"/>
          <w:b/>
          <w:sz w:val="24"/>
          <w:szCs w:val="24"/>
        </w:rPr>
        <w:t>奖学金</w:t>
      </w:r>
      <w:r>
        <w:rPr>
          <w:rFonts w:ascii="等线" w:hAnsi="等线" w:eastAsia="等线" w:cs="Segoe UI"/>
          <w:b/>
          <w:sz w:val="24"/>
          <w:szCs w:val="24"/>
        </w:rPr>
        <w:t>评定的程序</w:t>
      </w:r>
    </w:p>
    <w:p>
      <w:pPr>
        <w:spacing w:line="360" w:lineRule="auto"/>
        <w:ind w:firstLine="480" w:firstLineChars="200"/>
        <w:rPr>
          <w:rFonts w:ascii="等线" w:hAnsi="等线" w:eastAsia="等线"/>
          <w:sz w:val="24"/>
          <w:szCs w:val="24"/>
        </w:rPr>
      </w:pPr>
      <w:r>
        <w:rPr>
          <w:rFonts w:hint="eastAsia" w:ascii="等线" w:hAnsi="等线" w:eastAsia="等线"/>
          <w:sz w:val="24"/>
          <w:szCs w:val="24"/>
        </w:rPr>
        <w:t>1</w:t>
      </w:r>
      <w:r>
        <w:rPr>
          <w:rFonts w:ascii="等线" w:hAnsi="等线" w:eastAsia="等线"/>
          <w:sz w:val="24"/>
          <w:szCs w:val="24"/>
        </w:rPr>
        <w:t xml:space="preserve">. </w:t>
      </w:r>
      <w:r>
        <w:rPr>
          <w:rFonts w:hint="eastAsia" w:ascii="等线" w:hAnsi="等线" w:eastAsia="等线"/>
          <w:sz w:val="24"/>
          <w:szCs w:val="24"/>
        </w:rPr>
        <w:t>研究生经导师推荐后方可参加奖学金评选，每位导师每年最多可推荐</w:t>
      </w:r>
      <w:r>
        <w:rPr>
          <w:rFonts w:ascii="等线" w:hAnsi="等线" w:eastAsia="等线"/>
          <w:sz w:val="24"/>
          <w:szCs w:val="24"/>
        </w:rPr>
        <w:t>1</w:t>
      </w:r>
      <w:r>
        <w:rPr>
          <w:rFonts w:hint="eastAsia" w:ascii="等线" w:hAnsi="等线" w:eastAsia="等线"/>
          <w:sz w:val="24"/>
          <w:szCs w:val="24"/>
        </w:rPr>
        <w:t>名博士研究生和1名硕士研究生参加奖学金申请。</w:t>
      </w:r>
    </w:p>
    <w:p>
      <w:pPr>
        <w:spacing w:line="360" w:lineRule="auto"/>
        <w:ind w:firstLine="480" w:firstLineChars="200"/>
        <w:rPr>
          <w:rFonts w:ascii="等线" w:hAnsi="等线" w:eastAsia="等线"/>
          <w:sz w:val="24"/>
          <w:szCs w:val="24"/>
        </w:rPr>
      </w:pPr>
      <w:r>
        <w:rPr>
          <w:rFonts w:hint="eastAsia" w:ascii="等线" w:hAnsi="等线" w:eastAsia="等线"/>
          <w:sz w:val="24"/>
          <w:szCs w:val="24"/>
        </w:rPr>
        <w:t>2</w:t>
      </w:r>
      <w:r>
        <w:rPr>
          <w:rFonts w:ascii="等线" w:hAnsi="等线" w:eastAsia="等线"/>
          <w:sz w:val="24"/>
          <w:szCs w:val="24"/>
        </w:rPr>
        <w:t xml:space="preserve">. </w:t>
      </w:r>
      <w:r>
        <w:rPr>
          <w:rFonts w:hint="eastAsia" w:ascii="等线" w:hAnsi="等线" w:eastAsia="等线"/>
          <w:sz w:val="24"/>
          <w:szCs w:val="24"/>
        </w:rPr>
        <w:t>奖学金评定由全院统一安排，学院将根据科研成果分数的排名，以奖学金名额数1：2的比例确定参加答辩的人数。有特殊贡献的学生可向奖学金评审委员会申请，获批后参加答辩。</w:t>
      </w:r>
    </w:p>
    <w:p>
      <w:pPr>
        <w:spacing w:line="360" w:lineRule="auto"/>
        <w:ind w:firstLine="480" w:firstLineChars="200"/>
        <w:rPr>
          <w:rFonts w:ascii="等线" w:hAnsi="等线" w:eastAsia="等线"/>
          <w:sz w:val="24"/>
          <w:szCs w:val="24"/>
        </w:rPr>
      </w:pPr>
      <w:r>
        <w:rPr>
          <w:rFonts w:hint="eastAsia" w:ascii="等线" w:hAnsi="等线" w:eastAsia="等线"/>
          <w:sz w:val="24"/>
          <w:szCs w:val="24"/>
        </w:rPr>
        <w:t>3</w:t>
      </w:r>
      <w:r>
        <w:rPr>
          <w:rFonts w:ascii="等线" w:hAnsi="等线" w:eastAsia="等线"/>
          <w:sz w:val="24"/>
          <w:szCs w:val="24"/>
        </w:rPr>
        <w:t>. 学院</w:t>
      </w:r>
      <w:r>
        <w:rPr>
          <w:rFonts w:hint="eastAsia" w:ascii="等线" w:hAnsi="等线" w:eastAsia="等线"/>
          <w:sz w:val="24"/>
          <w:szCs w:val="24"/>
        </w:rPr>
        <w:t>根据各系或单位上报的名单，组织生命科学学院奖学金评审委员会参加评审，最终确定获得奖学金的人员。</w:t>
      </w:r>
    </w:p>
    <w:p>
      <w:pPr>
        <w:spacing w:line="360" w:lineRule="auto"/>
        <w:rPr>
          <w:rFonts w:ascii="等线" w:hAnsi="等线" w:eastAsia="等线"/>
          <w:sz w:val="24"/>
          <w:szCs w:val="24"/>
        </w:rPr>
      </w:pPr>
    </w:p>
    <w:p>
      <w:pPr>
        <w:spacing w:line="360" w:lineRule="auto"/>
        <w:ind w:firstLine="480"/>
        <w:jc w:val="left"/>
        <w:rPr>
          <w:rFonts w:ascii="等线" w:hAnsi="等线" w:eastAsia="等线"/>
          <w:b/>
          <w:sz w:val="24"/>
          <w:szCs w:val="24"/>
        </w:rPr>
      </w:pPr>
      <w:r>
        <w:rPr>
          <w:rFonts w:hint="eastAsia" w:ascii="等线" w:hAnsi="等线" w:eastAsia="等线"/>
          <w:b/>
          <w:sz w:val="24"/>
          <w:szCs w:val="24"/>
        </w:rPr>
        <w:t>在本评审办法框架内，答辩评审小组可结合实际情况开展评审工作。本办法的解释权归华东师范大学生命科学学院奖学金评审委员会所有。</w:t>
      </w:r>
    </w:p>
    <w:p>
      <w:pPr>
        <w:spacing w:line="360" w:lineRule="auto"/>
        <w:ind w:firstLine="480"/>
        <w:jc w:val="left"/>
        <w:rPr>
          <w:rFonts w:ascii="等线" w:hAnsi="等线" w:eastAsia="等线"/>
          <w:b/>
          <w:sz w:val="24"/>
          <w:szCs w:val="24"/>
        </w:rPr>
      </w:pPr>
    </w:p>
    <w:p>
      <w:pPr>
        <w:pStyle w:val="6"/>
        <w:shd w:val="clear" w:color="auto" w:fill="FFFFFF"/>
        <w:spacing w:after="0"/>
        <w:jc w:val="right"/>
        <w:rPr>
          <w:rFonts w:ascii="等线" w:hAnsi="等线" w:eastAsia="等线"/>
          <w:b/>
          <w:sz w:val="24"/>
        </w:rPr>
      </w:pPr>
      <w:r>
        <w:rPr>
          <w:rFonts w:hint="eastAsia" w:ascii="等线" w:hAnsi="等线" w:eastAsia="等线"/>
          <w:b/>
          <w:sz w:val="24"/>
        </w:rPr>
        <w:t>华东师范大学生命科学学院奖学金评审委员会</w:t>
      </w:r>
    </w:p>
    <w:p>
      <w:pPr>
        <w:pStyle w:val="6"/>
        <w:shd w:val="clear" w:color="auto" w:fill="FFFFFF"/>
        <w:spacing w:after="0"/>
        <w:jc w:val="right"/>
        <w:rPr>
          <w:rFonts w:ascii="等线" w:hAnsi="等线" w:eastAsia="等线"/>
          <w:b/>
          <w:sz w:val="24"/>
        </w:rPr>
      </w:pPr>
      <w:r>
        <w:rPr>
          <w:rFonts w:ascii="等线" w:hAnsi="等线" w:eastAsia="等线" w:cs="Times New Roman"/>
          <w:b/>
          <w:sz w:val="24"/>
        </w:rPr>
        <w:t>202</w:t>
      </w:r>
      <w:r>
        <w:rPr>
          <w:rFonts w:hint="eastAsia" w:ascii="等线" w:hAnsi="等线" w:eastAsia="等线" w:cs="Times New Roman"/>
          <w:b/>
          <w:sz w:val="24"/>
          <w:lang w:val="en-US" w:eastAsia="zh-CN"/>
        </w:rPr>
        <w:t>3</w:t>
      </w:r>
      <w:r>
        <w:rPr>
          <w:rFonts w:hint="eastAsia" w:ascii="等线" w:hAnsi="等线" w:eastAsia="等线"/>
          <w:b/>
          <w:sz w:val="24"/>
        </w:rPr>
        <w:t>年</w:t>
      </w:r>
      <w:r>
        <w:rPr>
          <w:rFonts w:ascii="等线" w:hAnsi="等线" w:eastAsia="等线" w:cs="Times New Roman"/>
          <w:b/>
          <w:sz w:val="24"/>
        </w:rPr>
        <w:t>9</w:t>
      </w:r>
      <w:r>
        <w:rPr>
          <w:rFonts w:hint="eastAsia" w:ascii="等线" w:hAnsi="等线" w:eastAsia="等线"/>
          <w:b/>
          <w:sz w:val="24"/>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4D7C14"/>
    <w:multiLevelType w:val="multilevel"/>
    <w:tmpl w:val="7B4D7C14"/>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iMzA1MDZiNmQwZDY4YzMwOWM0OWIwOTBhMDJhN2MifQ=="/>
  </w:docVars>
  <w:rsids>
    <w:rsidRoot w:val="00E13646"/>
    <w:rsid w:val="00004E2F"/>
    <w:rsid w:val="00016203"/>
    <w:rsid w:val="000236DA"/>
    <w:rsid w:val="0002783C"/>
    <w:rsid w:val="000310BE"/>
    <w:rsid w:val="000320E2"/>
    <w:rsid w:val="0003246F"/>
    <w:rsid w:val="00033304"/>
    <w:rsid w:val="00036F47"/>
    <w:rsid w:val="000402DE"/>
    <w:rsid w:val="00053078"/>
    <w:rsid w:val="00090844"/>
    <w:rsid w:val="00091D4D"/>
    <w:rsid w:val="000957DA"/>
    <w:rsid w:val="000A2D1F"/>
    <w:rsid w:val="000A3E24"/>
    <w:rsid w:val="000B37DD"/>
    <w:rsid w:val="000B5825"/>
    <w:rsid w:val="000C480E"/>
    <w:rsid w:val="000E2E38"/>
    <w:rsid w:val="000F2A20"/>
    <w:rsid w:val="000F5655"/>
    <w:rsid w:val="00100AD3"/>
    <w:rsid w:val="001133A9"/>
    <w:rsid w:val="0011394A"/>
    <w:rsid w:val="00120268"/>
    <w:rsid w:val="00124DF0"/>
    <w:rsid w:val="00127F85"/>
    <w:rsid w:val="00141037"/>
    <w:rsid w:val="00144F9E"/>
    <w:rsid w:val="001472B5"/>
    <w:rsid w:val="0015323C"/>
    <w:rsid w:val="00154AD3"/>
    <w:rsid w:val="00160394"/>
    <w:rsid w:val="0018026F"/>
    <w:rsid w:val="001967A6"/>
    <w:rsid w:val="001A5B4B"/>
    <w:rsid w:val="001E2E6C"/>
    <w:rsid w:val="001F7C58"/>
    <w:rsid w:val="00214F9C"/>
    <w:rsid w:val="0021553E"/>
    <w:rsid w:val="00230141"/>
    <w:rsid w:val="0023121C"/>
    <w:rsid w:val="00233407"/>
    <w:rsid w:val="00245FCE"/>
    <w:rsid w:val="002647D7"/>
    <w:rsid w:val="00291A23"/>
    <w:rsid w:val="002C3329"/>
    <w:rsid w:val="002D79D6"/>
    <w:rsid w:val="002E263E"/>
    <w:rsid w:val="002E64FA"/>
    <w:rsid w:val="003012BF"/>
    <w:rsid w:val="00323520"/>
    <w:rsid w:val="00324FA1"/>
    <w:rsid w:val="00343403"/>
    <w:rsid w:val="00355D47"/>
    <w:rsid w:val="003740A4"/>
    <w:rsid w:val="00386610"/>
    <w:rsid w:val="003A1D57"/>
    <w:rsid w:val="003C26A2"/>
    <w:rsid w:val="003C278F"/>
    <w:rsid w:val="003C4290"/>
    <w:rsid w:val="003E096F"/>
    <w:rsid w:val="003E1329"/>
    <w:rsid w:val="003E48AF"/>
    <w:rsid w:val="003F7FF1"/>
    <w:rsid w:val="00406F93"/>
    <w:rsid w:val="004250F9"/>
    <w:rsid w:val="00427D66"/>
    <w:rsid w:val="00434886"/>
    <w:rsid w:val="004406D9"/>
    <w:rsid w:val="004412A5"/>
    <w:rsid w:val="00444B28"/>
    <w:rsid w:val="0044583F"/>
    <w:rsid w:val="004476C0"/>
    <w:rsid w:val="0046179D"/>
    <w:rsid w:val="00463196"/>
    <w:rsid w:val="0046357C"/>
    <w:rsid w:val="00475E70"/>
    <w:rsid w:val="004812D5"/>
    <w:rsid w:val="00486017"/>
    <w:rsid w:val="004A3016"/>
    <w:rsid w:val="005358E0"/>
    <w:rsid w:val="00551087"/>
    <w:rsid w:val="005614C2"/>
    <w:rsid w:val="00583DAF"/>
    <w:rsid w:val="005B0704"/>
    <w:rsid w:val="005B1B2D"/>
    <w:rsid w:val="005C0D06"/>
    <w:rsid w:val="005C2B79"/>
    <w:rsid w:val="005C3CA4"/>
    <w:rsid w:val="005E0458"/>
    <w:rsid w:val="005F35BC"/>
    <w:rsid w:val="0060555E"/>
    <w:rsid w:val="0061542C"/>
    <w:rsid w:val="0062780B"/>
    <w:rsid w:val="006325F0"/>
    <w:rsid w:val="00634BB3"/>
    <w:rsid w:val="00650B78"/>
    <w:rsid w:val="00655572"/>
    <w:rsid w:val="00664FE7"/>
    <w:rsid w:val="00682ABB"/>
    <w:rsid w:val="00683935"/>
    <w:rsid w:val="00693DD1"/>
    <w:rsid w:val="00697ECF"/>
    <w:rsid w:val="006A2391"/>
    <w:rsid w:val="006B4865"/>
    <w:rsid w:val="006C3824"/>
    <w:rsid w:val="006D0671"/>
    <w:rsid w:val="006D4744"/>
    <w:rsid w:val="006E0F9C"/>
    <w:rsid w:val="006E4978"/>
    <w:rsid w:val="00701AAE"/>
    <w:rsid w:val="0073319A"/>
    <w:rsid w:val="00734585"/>
    <w:rsid w:val="00755834"/>
    <w:rsid w:val="00760095"/>
    <w:rsid w:val="00760AD8"/>
    <w:rsid w:val="00761AB5"/>
    <w:rsid w:val="0076455E"/>
    <w:rsid w:val="007862AB"/>
    <w:rsid w:val="007872D0"/>
    <w:rsid w:val="00790D53"/>
    <w:rsid w:val="007A5FA2"/>
    <w:rsid w:val="007A7502"/>
    <w:rsid w:val="007B3E85"/>
    <w:rsid w:val="007F1960"/>
    <w:rsid w:val="008141E2"/>
    <w:rsid w:val="008319AF"/>
    <w:rsid w:val="00842E98"/>
    <w:rsid w:val="008511A4"/>
    <w:rsid w:val="0085250F"/>
    <w:rsid w:val="00856290"/>
    <w:rsid w:val="008658DB"/>
    <w:rsid w:val="00867952"/>
    <w:rsid w:val="0087200F"/>
    <w:rsid w:val="008721AE"/>
    <w:rsid w:val="00877468"/>
    <w:rsid w:val="00884142"/>
    <w:rsid w:val="00890340"/>
    <w:rsid w:val="00895A43"/>
    <w:rsid w:val="008B177F"/>
    <w:rsid w:val="008B6FD6"/>
    <w:rsid w:val="008D38C9"/>
    <w:rsid w:val="008D6637"/>
    <w:rsid w:val="00903D10"/>
    <w:rsid w:val="00913916"/>
    <w:rsid w:val="00921B2A"/>
    <w:rsid w:val="00927AF3"/>
    <w:rsid w:val="00930D69"/>
    <w:rsid w:val="00937382"/>
    <w:rsid w:val="00937885"/>
    <w:rsid w:val="00947439"/>
    <w:rsid w:val="00951F71"/>
    <w:rsid w:val="00955CBA"/>
    <w:rsid w:val="0096433B"/>
    <w:rsid w:val="009644E6"/>
    <w:rsid w:val="00970029"/>
    <w:rsid w:val="00972468"/>
    <w:rsid w:val="0097249C"/>
    <w:rsid w:val="00973B18"/>
    <w:rsid w:val="00985DB6"/>
    <w:rsid w:val="009941D6"/>
    <w:rsid w:val="00994AF4"/>
    <w:rsid w:val="009A1641"/>
    <w:rsid w:val="009A7931"/>
    <w:rsid w:val="009B2FA7"/>
    <w:rsid w:val="009B7901"/>
    <w:rsid w:val="009C5A95"/>
    <w:rsid w:val="00A00113"/>
    <w:rsid w:val="00A02E50"/>
    <w:rsid w:val="00A04C8E"/>
    <w:rsid w:val="00A05E01"/>
    <w:rsid w:val="00A06AFB"/>
    <w:rsid w:val="00A13DF2"/>
    <w:rsid w:val="00A16082"/>
    <w:rsid w:val="00A214BC"/>
    <w:rsid w:val="00A25FFF"/>
    <w:rsid w:val="00A3516B"/>
    <w:rsid w:val="00A6017D"/>
    <w:rsid w:val="00A71299"/>
    <w:rsid w:val="00A7270F"/>
    <w:rsid w:val="00A759FD"/>
    <w:rsid w:val="00A81115"/>
    <w:rsid w:val="00A824FF"/>
    <w:rsid w:val="00A83DB7"/>
    <w:rsid w:val="00A86B5D"/>
    <w:rsid w:val="00AA122B"/>
    <w:rsid w:val="00AB4918"/>
    <w:rsid w:val="00AB4E10"/>
    <w:rsid w:val="00AB5001"/>
    <w:rsid w:val="00AC0330"/>
    <w:rsid w:val="00AC0958"/>
    <w:rsid w:val="00AD77AA"/>
    <w:rsid w:val="00AF32A1"/>
    <w:rsid w:val="00AF59D5"/>
    <w:rsid w:val="00AF7AEF"/>
    <w:rsid w:val="00B01736"/>
    <w:rsid w:val="00B14727"/>
    <w:rsid w:val="00B44C30"/>
    <w:rsid w:val="00B470D8"/>
    <w:rsid w:val="00B555F3"/>
    <w:rsid w:val="00B55DD8"/>
    <w:rsid w:val="00B57C8E"/>
    <w:rsid w:val="00B74E9C"/>
    <w:rsid w:val="00BA1FFF"/>
    <w:rsid w:val="00BA5D1D"/>
    <w:rsid w:val="00BB5859"/>
    <w:rsid w:val="00BC33D0"/>
    <w:rsid w:val="00BC4A22"/>
    <w:rsid w:val="00BC7F1D"/>
    <w:rsid w:val="00BD4B38"/>
    <w:rsid w:val="00BD54A7"/>
    <w:rsid w:val="00BE35AF"/>
    <w:rsid w:val="00C02544"/>
    <w:rsid w:val="00C04389"/>
    <w:rsid w:val="00C04730"/>
    <w:rsid w:val="00C41C68"/>
    <w:rsid w:val="00C44C89"/>
    <w:rsid w:val="00C50994"/>
    <w:rsid w:val="00C60157"/>
    <w:rsid w:val="00C65A38"/>
    <w:rsid w:val="00CC63E9"/>
    <w:rsid w:val="00CD15DC"/>
    <w:rsid w:val="00CD78C1"/>
    <w:rsid w:val="00CE332C"/>
    <w:rsid w:val="00CE3584"/>
    <w:rsid w:val="00CF3814"/>
    <w:rsid w:val="00D12917"/>
    <w:rsid w:val="00D22B87"/>
    <w:rsid w:val="00D23FAC"/>
    <w:rsid w:val="00D24F68"/>
    <w:rsid w:val="00D4207C"/>
    <w:rsid w:val="00D422FD"/>
    <w:rsid w:val="00D5340E"/>
    <w:rsid w:val="00D75F14"/>
    <w:rsid w:val="00D76F35"/>
    <w:rsid w:val="00D84BA4"/>
    <w:rsid w:val="00D84F5B"/>
    <w:rsid w:val="00D904FD"/>
    <w:rsid w:val="00D913F1"/>
    <w:rsid w:val="00DA0E3B"/>
    <w:rsid w:val="00DA1A97"/>
    <w:rsid w:val="00DA22A9"/>
    <w:rsid w:val="00DD782F"/>
    <w:rsid w:val="00DF34A3"/>
    <w:rsid w:val="00DF35E8"/>
    <w:rsid w:val="00DF5A2F"/>
    <w:rsid w:val="00DF703B"/>
    <w:rsid w:val="00E13646"/>
    <w:rsid w:val="00E158C5"/>
    <w:rsid w:val="00E166A3"/>
    <w:rsid w:val="00E315C1"/>
    <w:rsid w:val="00E32C7C"/>
    <w:rsid w:val="00E3333C"/>
    <w:rsid w:val="00E46C62"/>
    <w:rsid w:val="00E50F81"/>
    <w:rsid w:val="00E63E81"/>
    <w:rsid w:val="00E75FC1"/>
    <w:rsid w:val="00E77672"/>
    <w:rsid w:val="00E83EC3"/>
    <w:rsid w:val="00E85FE1"/>
    <w:rsid w:val="00E96AC4"/>
    <w:rsid w:val="00EA0566"/>
    <w:rsid w:val="00EA5A2C"/>
    <w:rsid w:val="00EC0C80"/>
    <w:rsid w:val="00EC49C0"/>
    <w:rsid w:val="00ED683A"/>
    <w:rsid w:val="00EF6ABF"/>
    <w:rsid w:val="00F2454F"/>
    <w:rsid w:val="00F30066"/>
    <w:rsid w:val="00F45034"/>
    <w:rsid w:val="00F45394"/>
    <w:rsid w:val="00F56E93"/>
    <w:rsid w:val="00F67D2E"/>
    <w:rsid w:val="00F71950"/>
    <w:rsid w:val="00F8023D"/>
    <w:rsid w:val="00FF16E1"/>
    <w:rsid w:val="00FF2055"/>
    <w:rsid w:val="00FF5011"/>
    <w:rsid w:val="00FF72A8"/>
    <w:rsid w:val="07D15C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75" w:after="75"/>
      <w:jc w:val="left"/>
    </w:pPr>
    <w:rPr>
      <w:rFonts w:ascii="宋体" w:hAnsi="宋体" w:eastAsia="宋体" w:cs="宋体"/>
      <w:kern w:val="0"/>
      <w:szCs w:val="21"/>
    </w:rPr>
  </w:style>
  <w:style w:type="paragraph" w:styleId="7">
    <w:name w:val="annotation subject"/>
    <w:basedOn w:val="2"/>
    <w:next w:val="2"/>
    <w:link w:val="18"/>
    <w:semiHidden/>
    <w:unhideWhenUsed/>
    <w:qFormat/>
    <w:uiPriority w:val="99"/>
    <w:rPr>
      <w:b/>
      <w:bCs/>
    </w:rPr>
  </w:style>
  <w:style w:type="character" w:styleId="10">
    <w:name w:val="Strong"/>
    <w:basedOn w:val="9"/>
    <w:qFormat/>
    <w:uiPriority w:val="22"/>
    <w:rPr>
      <w:b/>
      <w:bCs/>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styleId="12">
    <w:name w:val="annotation reference"/>
    <w:basedOn w:val="9"/>
    <w:semiHidden/>
    <w:unhideWhenUsed/>
    <w:qFormat/>
    <w:uiPriority w:val="99"/>
    <w:rPr>
      <w:sz w:val="21"/>
      <w:szCs w:val="21"/>
    </w:rPr>
  </w:style>
  <w:style w:type="paragraph" w:styleId="13">
    <w:name w:val="List Paragraph"/>
    <w:basedOn w:val="1"/>
    <w:qFormat/>
    <w:uiPriority w:val="34"/>
    <w:pPr>
      <w:ind w:firstLine="420" w:firstLineChars="200"/>
    </w:pPr>
  </w:style>
  <w:style w:type="character" w:customStyle="1" w:styleId="14">
    <w:name w:val="页眉 字符"/>
    <w:basedOn w:val="9"/>
    <w:link w:val="5"/>
    <w:qFormat/>
    <w:uiPriority w:val="99"/>
    <w:rPr>
      <w:sz w:val="18"/>
      <w:szCs w:val="18"/>
    </w:rPr>
  </w:style>
  <w:style w:type="character" w:customStyle="1" w:styleId="15">
    <w:name w:val="页脚 字符"/>
    <w:basedOn w:val="9"/>
    <w:link w:val="4"/>
    <w:qFormat/>
    <w:uiPriority w:val="99"/>
    <w:rPr>
      <w:sz w:val="18"/>
      <w:szCs w:val="18"/>
    </w:rPr>
  </w:style>
  <w:style w:type="character" w:customStyle="1" w:styleId="16">
    <w:name w:val="批注框文本 字符"/>
    <w:basedOn w:val="9"/>
    <w:link w:val="3"/>
    <w:semiHidden/>
    <w:qFormat/>
    <w:uiPriority w:val="99"/>
    <w:rPr>
      <w:sz w:val="18"/>
      <w:szCs w:val="18"/>
    </w:rPr>
  </w:style>
  <w:style w:type="character" w:customStyle="1" w:styleId="17">
    <w:name w:val="批注文字 字符"/>
    <w:basedOn w:val="9"/>
    <w:link w:val="2"/>
    <w:semiHidden/>
    <w:qFormat/>
    <w:uiPriority w:val="99"/>
  </w:style>
  <w:style w:type="character" w:customStyle="1" w:styleId="18">
    <w:name w:val="批注主题 字符"/>
    <w:basedOn w:val="17"/>
    <w:link w:val="7"/>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F9689-E884-4EC5-944F-AB9A31971FB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507</Words>
  <Characters>2890</Characters>
  <Lines>24</Lines>
  <Paragraphs>6</Paragraphs>
  <TotalTime>112</TotalTime>
  <ScaleCrop>false</ScaleCrop>
  <LinksUpToDate>false</LinksUpToDate>
  <CharactersWithSpaces>3391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2021-05-12T06:38:00Z</dcterms:created>
  <dc:creator>lenovo</dc:creator>
  <cp:lastModifiedBy>范范范</cp:lastModifiedBy>
  <dcterms:modified xsi:type="dcterms:W3CDTF">2023-09-24T23:45:52Z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30E05618FE07431485F9883AA31585D1_12</vt:lpwstr>
  </property>
</Properties>
</file>